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drawing>
          <wp:inline distT="0" distB="0" distL="0" distR="0">
            <wp:extent cx="2190750" cy="600075"/>
            <wp:effectExtent t="0" r="0" b="0" l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200"/>
      </w:pPr>
      <w:r>
        <w:rPr>
          <w:rFonts w:ascii="Calibri" w:cs="Calibri" w:eastAsia="Calibri" w:hAnsi="Calibri"/>
          <w:b/>
          <w:bCs/>
          <w:color w:val="9A7032"/>
          <w:spacing w:val="40"/>
          <w:sz w:val="17"/>
          <w:szCs w:val="17"/>
        </w:rPr>
        <w:t xml:space="preserve">SKABELON  ·  FAMILIE- &amp; PRIVATDOKUMENTER</w:t>
      </w:r>
    </w:p>
    <w:p>
      <w:pPr>
        <w:spacing w:after="120" w:before="60" w:line="300" w:lineRule="auto"/>
      </w:pPr>
      <w:r>
        <w:rPr>
          <w:rFonts w:ascii="Calibri" w:cs="Calibri" w:eastAsia="Calibri" w:hAnsi="Calibri"/>
          <w:b/>
          <w:bCs/>
          <w:color w:val="28394A"/>
          <w:sz w:val="64"/>
          <w:szCs w:val="64"/>
        </w:rPr>
        <w:t xml:space="preserve">Ægtepagt</w:t>
      </w:r>
    </w:p>
    <w:p>
      <w:pPr>
        <w:spacing w:after="200" w:line="288" w:lineRule="auto"/>
      </w:pPr>
      <w:r>
        <w:rPr>
          <w:rFonts w:ascii="Calibri" w:cs="Calibri" w:eastAsia="Calibri" w:hAnsi="Calibri"/>
          <w:color w:val="5F6B76"/>
          <w:sz w:val="26"/>
          <w:szCs w:val="26"/>
        </w:rPr>
        <w:t xml:space="preserve">mellem </w:t>
      </w:r>
      <w:r>
        <w:rPr>
          <w:rFonts w:ascii="Calibri" w:cs="Calibri" w:eastAsia="Calibri" w:hAnsi="Calibri"/>
          <w:color w:val="1C1917"/>
          <w:sz w:val="26"/>
          <w:szCs w:val="26"/>
          <w:shd w:fill="E8E6E1" w:color="auto" w:val="clear"/>
        </w:rPr>
        <w:t xml:space="preserve">[Ægtefælle 1]</w:t>
      </w:r>
      <w:r>
        <w:rPr>
          <w:rFonts w:ascii="Calibri" w:cs="Calibri" w:eastAsia="Calibri" w:hAnsi="Calibri"/>
          <w:color w:val="5F6B76"/>
          <w:sz w:val="26"/>
          <w:szCs w:val="26"/>
        </w:rPr>
        <w:t xml:space="preserve"> og </w:t>
      </w:r>
      <w:r>
        <w:rPr>
          <w:rFonts w:ascii="Calibri" w:cs="Calibri" w:eastAsia="Calibri" w:hAnsi="Calibri"/>
          <w:color w:val="1C1917"/>
          <w:sz w:val="26"/>
          <w:szCs w:val="26"/>
          <w:shd w:fill="E8E6E1" w:color="auto" w:val="clear"/>
        </w:rPr>
        <w:t xml:space="preserve">[Ægtefælle 2]</w:t>
      </w:r>
    </w:p>
    <w:p>
      <w:pPr>
        <w:pBdr>
          <w:bottom w:val="single" w:color="9A7032" w:sz="16"/>
        </w:pBdr>
        <w:spacing w:after="280"/>
        <w:ind w:right="7600"/>
      </w:pPr>
    </w:p>
    <w:p>
      <w:pPr>
        <w:spacing w:after="480" w:line="288" w:lineRule="auto"/>
      </w:pPr>
      <w:r>
        <w:rPr>
          <w:rFonts w:ascii="Calibri" w:cs="Calibri" w:eastAsia="Calibri" w:hAnsi="Calibri"/>
          <w:color w:val="3F3A33"/>
          <w:sz w:val="23"/>
          <w:szCs w:val="23"/>
        </w:rPr>
        <w:t xml:space="preserve">Skabelonen er en </w:t>
      </w:r>
      <w:r>
        <w:rPr>
          <w:rFonts w:ascii="Calibri" w:cs="Calibri" w:eastAsia="Calibri" w:hAnsi="Calibri"/>
          <w:b/>
          <w:bCs/>
          <w:color w:val="3F3A33"/>
          <w:sz w:val="23"/>
          <w:szCs w:val="23"/>
        </w:rPr>
        <w:t xml:space="preserve">kladde</w:t>
      </w:r>
      <w:r>
        <w:rPr>
          <w:rFonts w:ascii="Calibri" w:cs="Calibri" w:eastAsia="Calibri" w:hAnsi="Calibri"/>
          <w:color w:val="3F3A33"/>
          <w:sz w:val="23"/>
          <w:szCs w:val="23"/>
        </w:rPr>
        <w:t xml:space="preserve"> til ægtepagtens tekst. En ægtepagt er kun gyldig, når den er underskrevet af begge ægtefæller og tinglyst i Personbogen (ægtefælleloven § 20). En underskrevet ægtepagt, der ikke er tinglyst, er ugyldig - også mellem ægtefællerne selv.</w:t>
      </w:r>
    </w:p>
    <w:tbl>
      <w:tblPr>
        <w:tblW w:type="dxa" w:w="9070"/>
        <w:tblBorders>
          <w:top w:val="single" w:color="28394A" w:sz="8"/>
          <w:left w:val="none" w:color="FFFFFF" w:sz="0"/>
          <w:bottom w:val="single" w:color="D9DDE1" w:sz="4"/>
          <w:right w:val="none" w:color="FFFFFF" w:sz="0"/>
          <w:insideH w:val="single" w:color="D9DDE1" w:sz="4"/>
          <w:insideV w:val="none" w:color="FFFFFF" w:sz="0"/>
        </w:tblBorders>
      </w:tblPr>
      <w:tblGrid>
        <w:gridCol w:w="2400"/>
        <w:gridCol w:w="667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F6B76"/>
                <w:sz w:val="18"/>
                <w:szCs w:val="18"/>
              </w:rPr>
              <w:t xml:space="preserve">Udgivet af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Lovguiden  ·  </w:t>
            </w:r>
            <w:hyperlink w:history="1" r:id="rIdem3kxrv7365lablecg5xp">
              <w:r>
                <w:rPr>
                  <w:rFonts w:ascii="Calibri" w:cs="Calibri" w:eastAsia="Calibri" w:hAnsi="Calibri"/>
                  <w:color w:val="1E4FA3"/>
                  <w:sz w:val="20"/>
                  <w:szCs w:val="20"/>
                  <w:u w:val="single"/>
                </w:rPr>
                <w:t xml:space="preserve">www.lovguiden.dk</w:t>
              </w:r>
            </w:hyperlink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F6B76"/>
                <w:sz w:val="18"/>
                <w:szCs w:val="18"/>
              </w:rPr>
              <w:t xml:space="preserve">Tilhørende guide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hyperlink w:history="1" r:id="rIdmjxqkrwpt-wf5ppa-ggoi">
              <w:r>
                <w:rPr>
                  <w:rFonts w:ascii="Calibri" w:cs="Calibri" w:eastAsia="Calibri" w:hAnsi="Calibri"/>
                  <w:color w:val="1E4FA3"/>
                  <w:sz w:val="20"/>
                  <w:szCs w:val="20"/>
                  <w:u w:val="single"/>
                </w:rPr>
                <w:t xml:space="preserve">lovguiden.dk/praksisoversigt/privat-og-familie/aegtepagt</w:t>
              </w:r>
            </w:hyperlink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F6B76"/>
                <w:sz w:val="18"/>
                <w:szCs w:val="18"/>
              </w:rPr>
              <w:t xml:space="preserve">Version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Oktober 2026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F6B76"/>
                <w:sz w:val="18"/>
                <w:szCs w:val="18"/>
              </w:rPr>
              <w:t xml:space="preserve">Format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Redigerbar skabelon - udfyld felterne, og slet vejledningen</w:t>
            </w:r>
          </w:p>
        </w:tc>
      </w:tr>
    </w:tbl>
    <w:p>
      <w:pPr>
        <w:spacing w:after="120" w:before="480"/>
      </w:pPr>
      <w:r>
        <w:rPr>
          <w:rFonts w:ascii="Calibri" w:cs="Calibri" w:eastAsia="Calibri" w:hAnsi="Calibri"/>
          <w:b/>
          <w:bCs/>
          <w:color w:val="28394A"/>
          <w:spacing w:val="40"/>
          <w:sz w:val="17"/>
          <w:szCs w:val="17"/>
        </w:rPr>
        <w:t xml:space="preserve">SÅDAN BRUGES SKABELONEN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667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[Navn]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200"/>
              <w:bottom w:type="dxa" w:w="8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color w:val="3F3A33"/>
                <w:sz w:val="19"/>
                <w:szCs w:val="19"/>
              </w:rPr>
              <w:t xml:space="preserve">Grå felter i klammer udfyldes - fx navne, datoer og beløb.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single" w:color="C9A66B" w:sz="18"/>
              <w:bottom w:val="none" w:color="FFFFFF" w:sz="0"/>
              <w:right w:val="none" w:color="FFFFFF" w:sz="0"/>
            </w:tcBorders>
            <w:shd w:fill="F7F3EC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A7032"/>
                <w:spacing w:val="30"/>
                <w:sz w:val="15"/>
                <w:szCs w:val="15"/>
              </w:rPr>
              <w:t xml:space="preserve">VEJLEDNING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200"/>
              <w:bottom w:type="dxa" w:w="8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color w:val="3F3A33"/>
                <w:sz w:val="19"/>
                <w:szCs w:val="19"/>
              </w:rPr>
              <w:t xml:space="preserve">Tonede bokse er vejledning til jer og </w:t>
            </w:r>
            <w:r>
              <w:rPr>
                <w:rFonts w:ascii="Calibri" w:cs="Calibri" w:eastAsia="Calibri" w:hAnsi="Calibri"/>
                <w:b/>
                <w:bCs/>
                <w:color w:val="3F3A33"/>
                <w:sz w:val="19"/>
                <w:szCs w:val="19"/>
              </w:rPr>
              <w:t xml:space="preserve">slettes</w:t>
            </w:r>
            <w:r>
              <w:rPr>
                <w:rFonts w:ascii="Calibri" w:cs="Calibri" w:eastAsia="Calibri" w:hAnsi="Calibri"/>
                <w:color w:val="3F3A33"/>
                <w:sz w:val="19"/>
                <w:szCs w:val="19"/>
              </w:rPr>
              <w:t xml:space="preserve">, inden dokumentet bruges.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color w:val="28394A"/>
                <w:sz w:val="20"/>
                <w:szCs w:val="20"/>
              </w:rPr>
              <w:t xml:space="preserve">☐  Valgmulighed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200"/>
              <w:bottom w:type="dxa" w:w="8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color w:val="3F3A33"/>
                <w:sz w:val="19"/>
                <w:szCs w:val="19"/>
              </w:rPr>
              <w:t xml:space="preserve">Vælg det, der passer, og slet resten. Afsnit, der ikke er relevante, kan slettes helt.</w:t>
            </w:r>
          </w:p>
        </w:tc>
      </w:tr>
    </w:tbl>
    <w:p>
      <w:pPr>
        <w:spacing w:after="0" w:before="480" w:line="288" w:lineRule="auto"/>
        <w:sectPr>
          <w:headerReference w:type="default" r:id="rId6"/>
          <w:footerReference w:type="default" r:id="rId7"/>
          <w:pgSz w:w="11906" w:h="16838" w:orient="portrait"/>
          <w:pgMar w:top="1100" w:right="1418" w:bottom="1300" w:left="1418" w:header="560" w:footer="560" w:gutter="0"/>
          <w:pgNumType/>
          <w:docGrid w:linePitch="360"/>
        </w:sectPr>
      </w:pPr>
      <w:r>
        <w:rPr>
          <w:rFonts w:ascii="Calibri" w:cs="Calibri" w:eastAsia="Calibri" w:hAnsi="Calibri"/>
          <w:i/>
          <w:iCs/>
          <w:color w:val="5F6B76"/>
          <w:sz w:val="16"/>
          <w:szCs w:val="16"/>
        </w:rPr>
        <w:t xml:space="preserve">Skabelonen er et udgangspunkt og ikke juridisk rådgivning. Lovgivningen kan være ændret siden udarbejdelsen - kontrollér reglerne, og søg rådgivning ved større eller usædvanlige forhold.</w:t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9A7032"/>
          <w:spacing w:val="40"/>
          <w:sz w:val="17"/>
          <w:szCs w:val="17"/>
        </w:rPr>
        <w:t xml:space="preserve">SLETTES FØR BRUG</w:t>
      </w:r>
    </w:p>
    <w:p>
      <w:pPr>
        <w:spacing w:after="240"/>
      </w:pPr>
      <w:r>
        <w:rPr>
          <w:rFonts w:ascii="Calibri" w:cs="Calibri" w:eastAsia="Calibri" w:hAnsi="Calibri"/>
          <w:b/>
          <w:bCs/>
          <w:color w:val="28394A"/>
          <w:sz w:val="40"/>
          <w:szCs w:val="40"/>
        </w:rPr>
        <w:t xml:space="preserve">Før du går i gang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VIGTIGT AT VIDE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b/>
          <w:bCs/>
          <w:color w:val="3F3A33"/>
          <w:sz w:val="19"/>
          <w:szCs w:val="19"/>
        </w:rPr>
        <w:t xml:space="preserve">Sådan tinglyses den:</w:t>
      </w:r>
      <w:r>
        <w:rPr>
          <w:rFonts w:ascii="Calibri" w:cs="Calibri" w:eastAsia="Calibri" w:hAnsi="Calibri"/>
          <w:color w:val="3F3A33"/>
          <w:sz w:val="19"/>
          <w:szCs w:val="19"/>
        </w:rPr>
        <w:t xml:space="preserve"> Log på tinglysning.dk med MitID, vælg "Tinglysning mv." og opret en ny anmeldelse af typen "Tinglysning Ægtepagt" (kategori "Andet"). Navn og CPR-nr. på begge ægtefæller indtastes i systemets egne felter. I trinnet "Formueforhold" indsætter du teksten fra afsnit 1-9 nedenfor - kopiér den uden vejledningsbokse, afkrydsningsfelter og fravalgte muligheder. Alternativt vedhæftes ægtepagten som PDF-bilag, og der skrives "Ægtepagt vedhæftet som bilag" i tekstfeltet. Begge ægtefæller skal derefter underskrive anmeldelsen med MitID. Der betales tinglysningsafgift - se det gældende beløb på tinglysning.dk.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b/>
          <w:bCs/>
          <w:color w:val="3F3A33"/>
          <w:sz w:val="19"/>
          <w:szCs w:val="19"/>
        </w:rPr>
        <w:t xml:space="preserve">Ingen CPR-numre i teksten.</w:t>
      </w:r>
      <w:r>
        <w:rPr>
          <w:rFonts w:ascii="Calibri" w:cs="Calibri" w:eastAsia="Calibri" w:hAnsi="Calibri"/>
          <w:color w:val="3F3A33"/>
          <w:sz w:val="19"/>
          <w:szCs w:val="19"/>
        </w:rPr>
        <w:t xml:space="preserve"> Tinglyste ægtepagter og bilag kan ses af andre. Parterne identificeres derfor med navn og fødselsdato i selve ægtepagten.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Underskriver kun den ene ægtefælle digitalt, eller underskrives der efter fuldmagt, skal der vedhæftes en ægtepagt underskrevet på papir, som er identisk med anmeldelsen. Brug i så fald underskriftsfelterne i afsnit 10.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En ægtepagt ændrer kun, hvordan formuen deles ved separation, skilsmisse eller død. Den flytter ikke ejendomsretten og beskytter ikke mod kreditorer.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Faldgruber: der står kun "særeje" uden at angive formen; aktiver beskrives så upræcist, at Tinglysningsretten afviser; tinglysningen udskydes, så ægtepagten ikke gælder, når den får betydning; gamle skabeloner bruger forældede udtryk som "fælleseje" og henviser til retsvirkningsloven.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Særeje får store følger for arv, uskiftet bo og pension. Overvej at få ægtepagten gennemgået af en advokat, især ved erhvervsformue, pension og tidsbegrænset særeje.</w:t>
      </w:r>
    </w:p>
    <w:p>
      <w:pPr>
        <w:spacing w:after="120"/>
      </w:pP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KILDER OG INSPIRATION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Ægtefælleloven § 6 (samtykke ved familiens bolig), §§ 12-18 (særejeformer, pension, erstatninger, gæld), §§ 19-22 (oprettelse, gyldighed, ændring, tinglysning), § 25 (surrogater og indtægter), § 34 (pension) og §§ 65-66 (lovvalg).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Arveloven § 17 (uskiftet bo omfatter delingsformue).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Tinglysningsretten, vejledning "Tinglysning Ægtepagt" (domstol.dk).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Tinglysningsretten, "Ægtepagter i Personbogen" og vejledning "Ægtepagt Særeje" (domstol.dk).</w:t>
      </w:r>
    </w:p>
    <w:p>
      <w:pPr>
        <w:spacing w:before="200"/>
        <w:sectPr>
          <w:headerReference w:type="default" r:id="rId8"/>
          <w:footerReference w:type="default" r:id="rId9"/>
          <w:pgSz w:w="11906" w:h="16838" w:orient="portrait"/>
          <w:pgMar w:top="1418" w:right="1418" w:bottom="1300" w:left="1418" w:header="560" w:footer="560" w:gutter="0"/>
          <w:pgNumType/>
          <w:docGrid w:linePitch="360"/>
        </w:sectPr>
      </w:pPr>
      <w:r>
        <w:rPr>
          <w:rFonts w:ascii="Calibri" w:cs="Calibri" w:eastAsia="Calibri" w:hAnsi="Calibri"/>
          <w:color w:val="1C1917"/>
          <w:sz w:val="20"/>
          <w:szCs w:val="20"/>
        </w:rPr>
        <w:t xml:space="preserve">Læs guiden med lovkrav, faldgruber og praksis: </w:t>
      </w:r>
      <w:hyperlink w:history="1" r:id="rIdyhwaidruzxeav0yeryz6n">
        <w:r>
          <w:rPr>
            <w:rFonts w:ascii="Calibri" w:cs="Calibri" w:eastAsia="Calibri" w:hAnsi="Calibri"/>
            <w:color w:val="1E4FA3"/>
            <w:sz w:val="20"/>
            <w:szCs w:val="20"/>
            <w:u w:val="single"/>
          </w:rPr>
          <w:t xml:space="preserve">lovguiden.dk/praksisoversigt/privat-og-familie/aegtepagt</w:t>
        </w:r>
      </w:hyperlink>
    </w:p>
    <w:p>
      <w:pPr>
        <w:spacing w:after="80"/>
      </w:pPr>
      <w:r>
        <w:rPr>
          <w:rFonts w:ascii="Calibri" w:cs="Calibri" w:eastAsia="Calibri" w:hAnsi="Calibri"/>
          <w:b/>
          <w:bCs/>
          <w:color w:val="28394A"/>
          <w:sz w:val="44"/>
          <w:szCs w:val="44"/>
        </w:rPr>
        <w:t xml:space="preserve">Ægtepagt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5F6B76"/>
          <w:sz w:val="22"/>
          <w:szCs w:val="22"/>
        </w:rPr>
        <w:t xml:space="preserve">mellem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[Ægtefælle 1]</w:t>
      </w:r>
      <w:r>
        <w:rPr>
          <w:rFonts w:ascii="Calibri" w:cs="Calibri" w:eastAsia="Calibri" w:hAnsi="Calibri"/>
          <w:color w:val="5F6B76"/>
          <w:sz w:val="22"/>
          <w:szCs w:val="22"/>
        </w:rPr>
        <w:t xml:space="preserve"> og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[Ægtefælle 2]</w:t>
      </w:r>
    </w:p>
    <w:p>
      <w:pPr>
        <w:pBdr>
          <w:bottom w:val="single" w:color="9A7032" w:sz="12"/>
        </w:pBdr>
        <w:spacing w:after="360"/>
        <w:ind w:right="7600"/>
      </w:pP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1.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Parter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Undertegnede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[ægtefæller / kommende ægtefæller]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: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Ægtefælle 1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[Fulde navn]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født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[dd.mm.åååå]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Adresse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[Adresse, postnr. og by]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Ægtefælle 2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[Fulde navn]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født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[dd.mm.åååå]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Adresse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[Adresse, postnr. og by]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opretter hermed følgende ægtepagt.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Skriv ikke CPR-nr. - heller ikke de sidste fire cifre. CPR indtastes kun i tinglysningssystemets felter. Kommende ægtefæller kan godt oprette ægtepagt før vielsen; den får virkning fra vielsen, men skal tinglyses. Der kan ikke tinglyses en ægtepagt, hvis ingen af parterne har dansk CPR-nr.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2.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Tidligere ægtepagter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Der er ikke tidligere oprettet ægtepagt mellem os.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Denne ægtepagt ophæver ægtepagt mellem os tinglyst den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Denne ægtepagt supplerer ægtepagt mellem os tinglyst den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som i øvrigt fortsat gælder.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En ægtepagt kan kun ændres eller ophæves ved en ny ægtepagt (ægtefælleloven § 21). Tillæg og ophævelse tinglyses med samme dokumenttype. Datoen for den tidligere ægtepagt kan ses i Personbogen på tinglysning.dk.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3.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Særejeform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Den formue, der er nævnt under "Hvad særejet omfatter", skal være: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b/>
          <w:bCs/>
          <w:color w:val="1C1917"/>
          <w:sz w:val="22"/>
          <w:szCs w:val="22"/>
        </w:rPr>
        <w:t xml:space="preserve">Skilsmissesæreje.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Formuen deles ikke ved separation eller skilsmisse, men er delingsformue ved død.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b/>
          <w:bCs/>
          <w:color w:val="1C1917"/>
          <w:sz w:val="22"/>
          <w:szCs w:val="22"/>
        </w:rPr>
        <w:t xml:space="preserve">Fuldstændigt særeje.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Formuen deles hverken ved separation, skilsmisse eller død.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b/>
          <w:bCs/>
          <w:color w:val="1C1917"/>
          <w:sz w:val="22"/>
          <w:szCs w:val="22"/>
        </w:rPr>
        <w:t xml:space="preserve">Kombinationssæreje: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Særejet er skilsmissesæreje. Ved den førstafdødes død er længstlevendes særeje fuldstændigt særeje, mens førstafdødes særeje er delingsformue.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b/>
          <w:bCs/>
          <w:color w:val="1C1917"/>
          <w:sz w:val="22"/>
          <w:szCs w:val="22"/>
        </w:rPr>
        <w:t xml:space="preserve">Kombinationssæreje: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Særejet er fuldstændigt særeje, hvis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dør først, og ellers skilsmissesæreje.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b/>
          <w:bCs/>
          <w:color w:val="1C1917"/>
          <w:sz w:val="22"/>
          <w:szCs w:val="22"/>
        </w:rPr>
        <w:t xml:space="preserve">Kombinationssæreje: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[Anden variant efter ægtefælleloven § 12, stk. 1, nr. 3]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Skriv altid særejeformen fuldt ud. Står der kun "særeje", risikerer det at blive læst som skilsmissesæreje, som ikke beskytter ved død.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Fuldstændigt særeje betyder, at længstlevende ikke får halvdelen af afdødes særeje, og at afdødes fuldstændige særeje skal skiftes, fordi kun delingsformue kan overtages til uskiftet bo (arveloven § 17). Det kan ramme den økonomisk svageste ægtefælle hårdt.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Den første kombinationsvariant bruges ofte, fordi den beskytter ved skilsmisse, men stiller længstlevende bedst ved død. Kombinationssæreje skal holde sig inden for de varianter, ægtefælleloven § 12, stk. 1, nr. 3, tillader.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Er familiens helårsbolig helt særeje, kræves den anden ægtefælles samtykke ikke længere ved salg, pantsætning eller udlejning af boligen (ægtefælleloven § 6).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4.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Hvad særejet omfatter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Hele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s nuværende og fremtidige formue.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Hele hver af ægtefællernes nuværende og fremtidige formue.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Følgende aktiver tilhørende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: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[Præcis betegnelse - fx ejendommen (adresse), matr.nr. (Matr.nr.), (Ejerlav) / (Antal) anparter i (Selskabets navn), CVR-nr. (CVR-nr.) / konto nr. (Reg.nr. og kontonr.) i (Pengeinstitut)]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Det,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fra dags dato modtager som arv eller gave.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[Brøk eller procent]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af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s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[formue / aktiv, beskrevet præcist]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Et beløb på 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af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s formue (sumsæreje).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Delingsformue, dog således at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ved deling højst skal afgive 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(sumdeling).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Beløbet reguleres efter nettoprisindekset fra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Beløbet ved sumdeling forhøjes med 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 / procent]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pr. år fra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Ægtefælleloven § 12, stk. 2-4, tillader særeje for bestemte aktiver, for erhvervelser (fx arv og gaver), for en brøkdel, for et beløb (sumsæreje) og sumdeling, samt regulering efter nettoprisindekset. Aktiverne skal kunne identificeres entydigt - ellers kan Tinglysningsretten afvise ægtepagten.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Købes et aktiv for både særeje og delingsformue, bliver det brøkdelssæreje i forhold til de anvendte midler (§ 24). Gem dokumentation for, hvor pengene kom fra.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Vil I have særeje på en fast ejendom noteret i tingbogen, kan det ske bagefter med dokumenttypen "Ægtepagt Særeje" på tinglysning.dk.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5.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Tidsbegrænsning eller aftrapning (valgfrit)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Særejet ophører den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hvorefter formuen er delingsformue.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Særejet aftrappes med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[Procent]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% pr. år regnet fra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så det er helt ophørt den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Særeje kan tidsbegrænses eller aftrappes over en bestemt periode, og aftalen skal angive, hvorfra tiden regnes (ægtefælleloven § 12, stk. 5). Brug faste datoer - knyt ikke ophøret til usikre begivenheder som "når vi får børn".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6.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Det, der træder i særejets sted, og indtægter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Det, der træder i stedet for særejet, samt indtægter og afkast heraf, er særeje i samme omfang.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Det, der træder i stedet for særejet, er særeje. Indtægter og afkast af særejet er delingsformue.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Det, der træder i stedet for særeje, og indtægter af særeje er særeje (ægtefælleloven § 25, stk. 1). Den første mulighed svarer til lovens udgangspunkt, men gør det tydeligt. Den anden fravigelse skal aftales udtrykkeligt og kan ikke tidsbegrænses (§ 25, stk. 2).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7.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Pension (valgfrit)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Ingen særlig aftale om pension.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s pensionsrettigheder i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[Pensionsselskab/ordning, fx alle ordninger]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er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[skilsmissesæreje / fuldstændigt særeje / kombinationssæreje (variant)]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 Det gælder også fremtidige indbetalinger.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Værdien af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s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[alderspension / kapitalpension / ratepension]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i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[Ordning]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skal indgå i delingen ved separation og skilsmisse.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Rimelige pensioner holdes uden for delingen ved separation og skilsmisse (ægtefælleloven § 34). Ægtefællerne kan aftale særeje for pension - også for fremtidige indbetalinger (§ 13) - eller omvendt, at værdien af en alders-, kapital- eller ratepension skal deles (§ 15). Pension er kompliceret - få rådgivning, før I aftaler noget her.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8.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Andre aftaler (valgfrit)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Personlige erstatninger og godtgørelser, som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har modtaget eller modtager, skal indgå i delingen ved separation og skilsmisse.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Følgende personlige rettigheder tilhørende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skal indgå i delingen ved separation og skilsmisse: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[Beskrivelse]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Ved opgørelsen af delingsformuen fradrages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[Beskrivelse af gæld og hvordan den fradrages]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Særeje, som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har fået ved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[testamente / gavebrev]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fra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 på arvelader/giver]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af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ændres til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[Delingsformue / anden særejeform]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 Ændringen er tilladt efter bestemmelserne i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[testamentet / gavebrevet]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Bestemmelserne bygger på ægtefælleloven §§ 14 og 16-18. Aftaler om erstatninger og personlige rettigheder kan begrænses til at gælde ved død.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Gæld: aftalen skal gælde både ved separation, skilsmisse og død og kan ikke tidsbegrænses (§ 18, stk. 3-4).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Særeje, som en arvelader eller giver har bestemt, kan kun ændres, hvis testamentet eller gavebrevet tillader det, og kun inden for de rammer, det fastsætter (§ 14, stk. 2).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9.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Lovvalg (valgfrit)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Ægtepagten og vores formueforhold i øvrigt er underlagt dansk ret.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Relevant, hvis en af jer er udenlandsk statsborger, har bopæl i udlandet eller ejer aktiver i udlandet. Dansk ret kan kun vælges, hvis en af jer bor i Danmark eller er dansk statsborger, da I indgår aftalen (ægtefælleloven § 65, stk. 1). Udenlandske myndigheder anerkender ikke nødvendigvis en dansk ægtepagt. Slet afsnittet, hvis I begge bor i Danmark og ikke har tilknytning til andre lande.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10.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Underskrifter (kun ved papirversion)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40"/>
              <w:left w:type="dxa" w:w="0"/>
              <w:bottom w:type="dxa" w:w="120"/>
              <w:right w:type="dxa" w:w="24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22"/>
                <w:szCs w:val="22"/>
              </w:rPr>
              <w:t xml:space="preserve">Ægtefælle 1</w:t>
            </w:r>
          </w:p>
          <w:p>
            <w:pPr>
              <w:spacing w:after="600" w:line="288" w:lineRule="auto"/>
            </w:pPr>
            <w:r>
              <w:rPr>
                <w:rFonts w:ascii="Calibri" w:cs="Calibri" w:eastAsia="Calibri" w:hAnsi="Calibri"/>
                <w:color w:val="1C1917"/>
                <w:sz w:val="20"/>
                <w:szCs w:val="20"/>
              </w:rPr>
              <w:t xml:space="preserve">Sted og dato: 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[Sted]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</w:rPr>
              <w:t xml:space="preserve">, den 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[Dato]</w:t>
            </w:r>
          </w:p>
          <w:p>
            <w:pPr>
              <w:pBdr>
                <w:bottom w:val="single" w:color="1C1917" w:sz="6"/>
              </w:pBdr>
              <w:spacing w:after="40"/>
              <w:ind w:right="360"/>
            </w:pPr>
          </w:p>
          <w:p>
            <w:pPr>
              <w:spacing w:after="40" w:line="288" w:lineRule="auto"/>
            </w:pP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[Navn]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40"/>
              <w:left w:type="dxa" w:w="0"/>
              <w:bottom w:type="dxa" w:w="120"/>
              <w:right w:type="dxa" w:w="24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22"/>
                <w:szCs w:val="22"/>
              </w:rPr>
              <w:t xml:space="preserve">Ægtefælle 2</w:t>
            </w:r>
          </w:p>
          <w:p>
            <w:pPr>
              <w:spacing w:after="600" w:line="288" w:lineRule="auto"/>
            </w:pPr>
            <w:r>
              <w:rPr>
                <w:rFonts w:ascii="Calibri" w:cs="Calibri" w:eastAsia="Calibri" w:hAnsi="Calibri"/>
                <w:color w:val="1C1917"/>
                <w:sz w:val="20"/>
                <w:szCs w:val="20"/>
              </w:rPr>
              <w:t xml:space="preserve">Sted og dato: 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[Sted]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</w:rPr>
              <w:t xml:space="preserve">, den 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[Dato]</w:t>
            </w:r>
          </w:p>
          <w:p>
            <w:pPr>
              <w:pBdr>
                <w:bottom w:val="single" w:color="1C1917" w:sz="6"/>
              </w:pBdr>
              <w:spacing w:after="40"/>
              <w:ind w:right="360"/>
            </w:pPr>
          </w:p>
          <w:p>
            <w:pPr>
              <w:spacing w:after="40" w:line="288" w:lineRule="auto"/>
            </w:pP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[Navn]</w:t>
            </w:r>
          </w:p>
        </w:tc>
      </w:tr>
    </w:tbl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Ved almindelig digital tinglysning underskriver begge ægtefæller anmeldelsen med MitID - underskriftsfelterne bruges ikke og skal ikke kopieres ind i tekstfeltet "Formueforhold". Brug dem kun, hvis ægtepagten vedhæftes som underskrevet papirdokument. Er en ægtefælle under værgemål, så værgen skal give samtykke, skal værgen også underskrive (ægtefælleloven § 20).</w:t>
      </w:r>
    </w:p>
    <w:sectPr>
      <w:headerReference w:type="default" r:id="rId10"/>
      <w:footerReference w:type="default" r:id="rId11"/>
      <w:pgSz w:w="11906" w:h="16838" w:orient="portrait"/>
      <w:pgMar w:top="1418" w:right="1418" w:bottom="1300" w:left="1418" w:header="560" w:footer="560" w:gutter="0"/>
      <w:pgNumType w:start="1"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5F6B76"/>
        <w:sz w:val="15"/>
        <w:szCs w:val="15"/>
      </w:rPr>
      <w:t xml:space="preserve">Vejledning - slettes før brug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DE1" w:sz="4" w:space="6"/>
      </w:pBdr>
      <w:tabs>
        <w:tab w:val="right" w:pos="9026"/>
      </w:tabs>
    </w:pPr>
    <w:r>
      <w:rPr>
        <w:rFonts w:ascii="Calibri" w:cs="Calibri" w:eastAsia="Calibri" w:hAnsi="Calibri"/>
        <w:color w:val="5F6B76"/>
        <w:sz w:val="15"/>
        <w:szCs w:val="15"/>
      </w:rPr>
      <w:t xml:space="preserve">Skabelon fra Lovguiden  ·  </w:t>
    </w:r>
    <w:hyperlink w:history="1" r:id="rIdo5u-r1mn8ewhmh8pakfhm">
      <w:r>
        <w:rPr>
          <w:rFonts w:ascii="Calibri" w:cs="Calibri" w:eastAsia="Calibri" w:hAnsi="Calibri"/>
          <w:color w:val="1E4FA3"/>
          <w:sz w:val="15"/>
          <w:szCs w:val="15"/>
          <w:u w:val="single"/>
        </w:rPr>
        <w:t xml:space="preserve">lovguiden.dk/praksisoversigt/privat-og-familie/aegtepagt</w:t>
      </w:r>
    </w:hyperlink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color w:val="5F6B76"/>
        <w:sz w:val="15"/>
        <w:szCs w:val="15"/>
      </w:rPr>
      <w:t xml:space="preserve">Side </w:t>
    </w:r>
    <w:r>
      <w:rPr>
        <w:rFonts w:ascii="Calibri" w:cs="Calibri" w:eastAsia="Calibri" w:hAnsi="Calibri"/>
        <w:color w:val="5F6B76"/>
        <w:sz w:val="15"/>
        <w:szCs w:val="15"/>
      </w:rPr>
      <w:fldChar w:fldCharType="begin"/>
    </w:r>
    <w:r>
      <w:rPr>
        <w:rFonts w:ascii="Calibri" w:cs="Calibri" w:eastAsia="Calibri" w:hAnsi="Calibri"/>
        <w:color w:val="5F6B76"/>
        <w:sz w:val="15"/>
        <w:szCs w:val="15"/>
      </w:rPr>
      <w:instrText xml:space="preserve">PAGE</w:instrText>
    </w:r>
    <w:r>
      <w:rPr>
        <w:rFonts w:ascii="Calibri" w:cs="Calibri" w:eastAsia="Calibri" w:hAnsi="Calibri"/>
        <w:color w:val="5F6B76"/>
        <w:sz w:val="15"/>
        <w:szCs w:val="15"/>
      </w:rPr>
      <w:fldChar w:fldCharType="separate"/>
    </w:r>
    <w:r>
      <w:rPr>
        <w:rFonts w:ascii="Calibri" w:cs="Calibri" w:eastAsia="Calibri" w:hAnsi="Calibri"/>
        <w:color w:val="5F6B7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DE1" w:sz="4" w:space="6"/>
      </w:pBdr>
      <w:tabs>
        <w:tab w:val="right" w:pos="9026"/>
      </w:tabs>
    </w:pPr>
    <w:r>
      <w:drawing>
        <wp:inline distT="0" distB="0" distL="0" distR="0">
          <wp:extent cx="1047750" cy="285750"/>
          <wp:effectExtent t="0" r="0" b="0" l="0"/>
          <wp:docPr id="2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hyperlink w:history="1" r:id="rId9itqlhubwgobbmf0me7qp">
      <w:r>
        <w:rPr>
          <w:rFonts w:ascii="Calibri" w:cs="Calibri" w:eastAsia="Calibri" w:hAnsi="Calibri"/>
          <w:color w:val="1E4FA3"/>
          <w:sz w:val="16"/>
          <w:szCs w:val="16"/>
          <w:u w:val="single"/>
        </w:rPr>
        <w:t xml:space="preserve">www.lovguiden.dk</w:t>
      </w:r>
    </w:hyperlink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DE1" w:sz="4" w:space="6"/>
      </w:pBdr>
      <w:tabs>
        <w:tab w:val="right" w:pos="9026"/>
      </w:tabs>
    </w:pPr>
    <w:r>
      <w:drawing>
        <wp:inline distT="0" distB="0" distL="0" distR="0">
          <wp:extent cx="1047750" cy="285750"/>
          <wp:effectExtent t="0" r="0" b="0" l="0"/>
          <wp:docPr id="3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hyperlink w:history="1" r:id="rIdbkhusuhmezibmijimj76b">
      <w:r>
        <w:rPr>
          <w:rFonts w:ascii="Calibri" w:cs="Calibri" w:eastAsia="Calibri" w:hAnsi="Calibri"/>
          <w:color w:val="1E4FA3"/>
          <w:sz w:val="16"/>
          <w:szCs w:val="16"/>
          <w:u w:val="single"/>
        </w:rPr>
        <w:t xml:space="preserve">www.lovguiden.dk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1917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theme" Target="theme/theme1.xml"/><Relationship Id="rIdem3kxrv7365lablecg5xp" Type="http://schemas.openxmlformats.org/officeDocument/2006/relationships/hyperlink" Target="https://www.lovguiden.dk" TargetMode="External"/><Relationship Id="rIdmjxqkrwpt-wf5ppa-ggoi" Type="http://schemas.openxmlformats.org/officeDocument/2006/relationships/hyperlink" Target="https://www.lovguiden.dk/praksisoversigt/privat-og-familie/aegtepagt" TargetMode="External"/><Relationship Id="rIdyhwaidruzxeav0yeryz6n" Type="http://schemas.openxmlformats.org/officeDocument/2006/relationships/hyperlink" Target="https://www.lovguiden.dk/praksisoversigt/privat-og-familie/aegtepagt" TargetMode="External"/><Relationship Id="rId16" Type="http://schemas.openxmlformats.org/officeDocument/2006/relationships/image" Target="media/e34fde046ec96b6137abb248ac26a17e8220ff7b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><Relationship Id="rIdo5u-r1mn8ewhmh8pakfhm" Type="http://schemas.openxmlformats.org/officeDocument/2006/relationships/hyperlink" Target="https://www.lovguiden.dk/praksisoversigt/privat-og-familie/aegtepagt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9itqlhubwgobbmf0me7qp" Type="http://schemas.openxmlformats.org/officeDocument/2006/relationships/hyperlink" Target="https://www.lovguiden.dk" TargetMode="External"/><Relationship Id="rId0" Type="http://schemas.openxmlformats.org/officeDocument/2006/relationships/image" Target="media/e34fde046ec96b6137abb248ac26a17e8220ff7b.png"/></Relationships>
</file>

<file path=word/_rels/header3.xml.rels><?xml version="1.0" encoding="UTF-8"?><Relationships xmlns="http://schemas.openxmlformats.org/package/2006/relationships"><Relationship Id="rIdbkhusuhmezibmijimj76b" Type="http://schemas.openxmlformats.org/officeDocument/2006/relationships/hyperlink" Target="https://www.lovguiden.dk" TargetMode="External"/><Relationship Id="rId0" Type="http://schemas.openxmlformats.org/officeDocument/2006/relationships/image" Target="media/e34fde046ec96b6137abb248ac26a17e8220ff7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Ægtepagt</dc:title>
  <dc:creator>Lovguiden</dc:creator>
  <cp:lastModifiedBy>Un-named</cp:lastModifiedBy>
  <cp:revision>1</cp:revision>
  <dcterms:created xsi:type="dcterms:W3CDTF">2026-10-27T14:06:15.775Z</dcterms:created>
  <dcterms:modified xsi:type="dcterms:W3CDTF">2026-10-27T14:06:15.775Z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