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GDPR &amp; COMPLIANCE-DOKUMENTER</w:t>
      </w:r>
    </w:p>
    <w:p>
      <w:pPr>
        <w:spacing w:after="120" w:before="60" w:line="300" w:lineRule="auto"/>
      </w:pPr>
      <w:r>
        <w:rPr>
          <w:rFonts w:ascii="Calibri" w:cs="Calibri" w:eastAsia="Calibri" w:hAnsi="Calibri"/>
          <w:b/>
          <w:bCs/>
          <w:color w:val="28394A"/>
          <w:sz w:val="64"/>
          <w:szCs w:val="64"/>
        </w:rPr>
        <w:t xml:space="preserve">Databehandleraftale - udfyldningsbilag (A-D) til Datatilsynets standardkontraktsbestemmelser</w:t>
      </w:r>
    </w:p>
    <w:p>
      <w:pPr>
        <w:spacing w:after="200" w:line="288" w:lineRule="auto"/>
      </w:pPr>
      <w:r>
        <w:rPr>
          <w:rFonts w:ascii="Calibri" w:cs="Calibri" w:eastAsia="Calibri" w:hAnsi="Calibri"/>
          <w:color w:val="5F6B76"/>
          <w:sz w:val="26"/>
          <w:szCs w:val="26"/>
        </w:rPr>
        <w:t xml:space="preserve">mellem </w:t>
      </w:r>
      <w:r>
        <w:rPr>
          <w:rFonts w:ascii="Calibri" w:cs="Calibri" w:eastAsia="Calibri" w:hAnsi="Calibri"/>
          <w:color w:val="1C1917"/>
          <w:sz w:val="26"/>
          <w:szCs w:val="26"/>
          <w:shd w:fill="E8E6E1" w:color="auto" w:val="clear"/>
        </w:rPr>
        <w:t xml:space="preserve">[Den dataansvarlige]</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[Databehandleren]</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Denne skabelon er </w:t>
      </w:r>
      <w:r>
        <w:rPr>
          <w:rFonts w:ascii="Calibri" w:cs="Calibri" w:eastAsia="Calibri" w:hAnsi="Calibri"/>
          <w:b/>
          <w:bCs/>
          <w:color w:val="3F3A33"/>
          <w:sz w:val="23"/>
          <w:szCs w:val="23"/>
        </w:rPr>
        <w:t xml:space="preserve">ikke</w:t>
      </w:r>
      <w:r>
        <w:rPr>
          <w:rFonts w:ascii="Calibri" w:cs="Calibri" w:eastAsia="Calibri" w:hAnsi="Calibri"/>
          <w:color w:val="3F3A33"/>
          <w:sz w:val="23"/>
          <w:szCs w:val="23"/>
        </w:rPr>
        <w:t xml:space="preserve"> en selvstændig databehandleraftale. Den er et arbejdsark og en udfyldt version af de bilag, der hører til Datatilsynets standardkontraktsbestemmelser efter databeskyttelsesforordningens artikel 28 (version 1.2). Selve bestemmelserne (pkt. 1-15) skal hentes hos Datatilsynet.</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qviksie6mweqzenux7nal">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_n2q-a9b7ag8imdkdrmlo">
              <w:r>
                <w:rPr>
                  <w:rFonts w:ascii="Calibri" w:cs="Calibri" w:eastAsia="Calibri" w:hAnsi="Calibri"/>
                  <w:color w:val="1E4FA3"/>
                  <w:sz w:val="20"/>
                  <w:szCs w:val="20"/>
                  <w:u w:val="single"/>
                </w:rPr>
                <w:t xml:space="preserve">lovguiden.dk/praksisoversigt/gdpr-og-compliance/databehandleraftale</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Sådan gør I:</w:t>
      </w:r>
      <w:r>
        <w:rPr>
          <w:rFonts w:ascii="Calibri" w:cs="Calibri" w:eastAsia="Calibri" w:hAnsi="Calibri"/>
          <w:color w:val="3F3A33"/>
          <w:sz w:val="19"/>
          <w:szCs w:val="19"/>
        </w:rPr>
        <w:t xml:space="preserve"> 1) Hent den aktuelle danske skabelon på datatilsynet.dk/regler-og-vejledning/blanketter-og-skabeloner (søg "Standardkontraktsbestemmelser" / "databehandleraftale"). 2) Lav rollevurderingen i del 1. 3) Træf valgene i del 2 og indsæt dem de steder i bestemmelserne, der er markeret med VALG, VALGFRI eller ANGIV. 4) Udfyld bilag A-D her, og kopiér dem ind i stedet for de tomme bilag i Datatilsynets dokument. 5) Slet del 1-2 og alle vejledningsbokse.</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Ret ikke i brødteksten.</w:t>
      </w:r>
      <w:r>
        <w:rPr>
          <w:rFonts w:ascii="Calibri" w:cs="Calibri" w:eastAsia="Calibri" w:hAnsi="Calibri"/>
          <w:color w:val="3F3A33"/>
          <w:sz w:val="19"/>
          <w:szCs w:val="19"/>
        </w:rPr>
        <w:t xml:space="preserve"> Bestemmelserne er vedtaget af Datatilsynet efter artikel 28, stk. 8. Bruger parterne dem uændret, har Datatilsynet oplyst, at tilsynet ikke efterprøver det fastlagte indhold. Ændres brødteksten, er der ikke længere tale om standardbestemmelserne, og hele aftalen skal så selv opfylde artikel 28. Særlige vilkår (vederlag, ansvar, exit) hører hjemme i bilag D eller i hovedaftalen og må ikke stride mod bestemmelserne.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Aftalen skal være skriftlig (elektronisk er nok) og skal være indgået, </w:t>
      </w:r>
      <w:r>
        <w:rPr>
          <w:rFonts w:ascii="Calibri" w:cs="Calibri" w:eastAsia="Calibri" w:hAnsi="Calibri"/>
          <w:b/>
          <w:bCs/>
          <w:color w:val="3F3A33"/>
          <w:sz w:val="19"/>
          <w:szCs w:val="19"/>
        </w:rPr>
        <w:t xml:space="preserve">før</w:t>
      </w:r>
      <w:r>
        <w:rPr>
          <w:rFonts w:ascii="Calibri" w:cs="Calibri" w:eastAsia="Calibri" w:hAnsi="Calibri"/>
          <w:color w:val="3F3A33"/>
          <w:sz w:val="19"/>
          <w:szCs w:val="19"/>
        </w:rPr>
        <w:t xml:space="preserve"> databehandleren begynder at behandle oplysninger. Én aftale kan dække flere behandlingsaktiviteter, men bilag A skal så udfyldes for hver aktivitet.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Bestemmelserne er ikke et overførselsgrundlag til tredjelande. Overføres oplysninger uden for EU/EØS, skal der desuden være et grundlag efter forordningens kapitel V (fx en tilstrækkelighedsafgørelse eller EU-Kommissionens standardkontrakter efter artikel 46). Det angives i bilag C.6.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Foreslår leverandøren i stedet EU-Kommissionens standardkontraktbestemmelser efter artikel 28, stk. 7 (gennemførelsesafgørelse (EU) 2021/915), er det også et gyldigt valg. De har deres egne bilag (I-IV), så bilagene her passer ikke direkte ind. Brug i så fald del 1 og indholdet af bilag A-C som tjekliste.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aftalen indgås med en part, der reelt er selvstændigt dataansvarlig; instruksen i C.1 er tom eller blot henviser til "tjenesten"; listen over underdatabehandlere kan ændres ensidigt uden varsel; et vilkår om, at leverandøren "i særlige tilfælde" eller "når lovgivningen kræver det" kan overføre data til tredjelande uden nærmere afgrænsning.</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(EU) 2016/679, artikel 4, nr. 7-8, artikel 28, artikel 32-36 og kapitel V (artikel 44-49).</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"Standardkontraktsbestemmelser i henhold til artikel 28, stk. 3", version 1.2 (vedtaget 10.12.2019 efter artikel 28, stk. 8) - datatilsynet.dk/regler-og-vejledning/blanketter-og-skabeloner. Bilagenes opbygning og hjælpetekster er gengivet i omskrevet form med kildeangivelse.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EDPB, Guidelines 07/2020 om begreberne dataansvarlig og databehandler, og Opinion 22/2024 om databehandlere og underdatabehandlere.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svar af 23.1.2026 til Det fælleskommunale Databehandlersekretariat om generelle tilladelser til tredjelandsoverførsler i databehandleraftaler (j.nr. 2025-211-3556).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Kommissionens gennemførelsesafgørelse (EU) 2021/915 om standardkontraktbestemmelser mellem dataansvarlige og databehandlere.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"Hvem er dataansvarlig ved outsourcing af en intern whistleblowerordning" (13.10.2021) - eksempel på rollevurdering.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Erhvervsstyrelsen, annoteret udgave af Datatilsynets skabelon (2022) - eksempler på udfyldning af bilag C og D.</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5zvs-bbjxdn2bti7jlxci">
        <w:r>
          <w:rPr>
            <w:rFonts w:ascii="Calibri" w:cs="Calibri" w:eastAsia="Calibri" w:hAnsi="Calibri"/>
            <w:color w:val="1E4FA3"/>
            <w:sz w:val="20"/>
            <w:szCs w:val="20"/>
            <w:u w:val="single"/>
          </w:rPr>
          <w:t xml:space="preserve">lovguiden.dk/praksisoversigt/gdpr-og-compliance/databehandleraftale</w:t>
        </w:r>
      </w:hyperlink>
    </w:p>
    <w:p>
      <w:pPr>
        <w:spacing w:after="80"/>
      </w:pPr>
      <w:r>
        <w:rPr>
          <w:rFonts w:ascii="Calibri" w:cs="Calibri" w:eastAsia="Calibri" w:hAnsi="Calibri"/>
          <w:b/>
          <w:bCs/>
          <w:color w:val="28394A"/>
          <w:sz w:val="44"/>
          <w:szCs w:val="44"/>
        </w:rPr>
        <w:t xml:space="preserve">Databehandleraftale - udfyldningsbilag (A-D) til Datatilsynets standardkontraktsbestemmelser</w:t>
      </w:r>
    </w:p>
    <w:p>
      <w:pPr>
        <w:spacing w:after="120" w:line="288" w:lineRule="auto"/>
      </w:pPr>
      <w:r>
        <w:rPr>
          <w:rFonts w:ascii="Calibri" w:cs="Calibri" w:eastAsia="Calibri" w:hAnsi="Calibri"/>
          <w:color w:val="5F6B76"/>
          <w:sz w:val="22"/>
          <w:szCs w:val="22"/>
        </w:rPr>
        <w:t xml:space="preserve">mellem </w:t>
      </w:r>
      <w:r>
        <w:rPr>
          <w:rFonts w:ascii="Calibri" w:cs="Calibri" w:eastAsia="Calibri" w:hAnsi="Calibri"/>
          <w:color w:val="1C1917"/>
          <w:sz w:val="22"/>
          <w:szCs w:val="22"/>
          <w:shd w:fill="E8E6E1" w:color="auto" w:val="clear"/>
        </w:rPr>
        <w:t xml:space="preserve">[Den dataansvarlige]</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[Databehandleren]</w:t>
      </w:r>
    </w:p>
    <w:p>
      <w:pPr>
        <w:pBdr>
          <w:bottom w:val="single" w:color="9A7032" w:sz="12"/>
        </w:pBdr>
        <w:spacing w:after="360"/>
        <w:ind w:right="760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Del 1 og 2 er interne arbejdspapirer. De dokumenterer jeres vurdering og valg, men indgår ikke i aftalen. Gem dem sammen med aftalen, og slet dem fra den version, der underskrives.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Rollevurdering (internt arbejdspapir)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Leverandør/modpart</w:t>
      </w:r>
      <w:r>
        <w:t xml:space="preserve">	</w:t>
      </w:r>
      <w:r>
        <w:rPr>
          <w:rFonts w:ascii="Calibri" w:cs="Calibri" w:eastAsia="Calibri" w:hAnsi="Calibri"/>
          <w:color w:val="1C1917"/>
          <w:sz w:val="22"/>
          <w:szCs w:val="22"/>
          <w:shd w:fill="E8E6E1" w:color="auto" w:val="clear"/>
        </w:rPr>
        <w:t xml:space="preserve">[Navn, 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Ydelse, der vurderes</w:t>
      </w:r>
      <w:r>
        <w:t xml:space="preserve">	</w:t>
      </w:r>
      <w:r>
        <w:rPr>
          <w:rFonts w:ascii="Calibri" w:cs="Calibri" w:eastAsia="Calibri" w:hAnsi="Calibri"/>
          <w:color w:val="1C1917"/>
          <w:sz w:val="22"/>
          <w:szCs w:val="22"/>
          <w:shd w:fill="E8E6E1" w:color="auto" w:val="clear"/>
        </w:rPr>
        <w:t xml:space="preserve">[Fx lønsystem, hosting, CRM, it-support, ekstern whistleblowerportal]</w:t>
      </w:r>
    </w:p>
    <w:p>
      <w:pPr>
        <w:spacing w:after="120" w:line="288" w:lineRule="auto"/>
      </w:pPr>
      <w:r>
        <w:rPr>
          <w:rFonts w:ascii="Calibri" w:cs="Calibri" w:eastAsia="Calibri" w:hAnsi="Calibri"/>
          <w:color w:val="1C1917"/>
          <w:sz w:val="22"/>
          <w:szCs w:val="22"/>
        </w:rPr>
        <w:t xml:space="preserve">Sæt kryds ved de udsagn, der passer: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bestemmer, til hvilke formål oplysningerne behandles.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bestemmer de væsentlige midler (hvilke oplysninger, om hvem, hvor længe, hvem der får adgang).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Leverandøren må kun bruge oplysningerne til at levere ydelsen til os.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Leverandøren har ikke selv en interesse i eller brug for oplysningerne.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Leverandøren udøver et selvstændigt fagligt skøn, som vi ikke instruerer (fx revisor, advokat, læge).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Leverandøren bruger oplysningerne til egne formål (fx egen produktudvikling, egen markedsføring, egen statistik).</w:t>
      </w:r>
    </w:p>
    <w:p>
      <w:pPr>
        <w:spacing w:after="120" w:line="288" w:lineRule="auto"/>
      </w:pPr>
      <w:r>
        <w:rPr>
          <w:rFonts w:ascii="Calibri" w:cs="Calibri" w:eastAsia="Calibri" w:hAnsi="Calibri"/>
          <w:color w:val="1C1917"/>
          <w:sz w:val="22"/>
          <w:szCs w:val="22"/>
        </w:rPr>
        <w:t xml:space="preserve">Konklusion: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Leverandøren er databehandler. Der indgås databehandleraftale.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Leverandøren er selvstændigt dataansvarlig. Der indgås ikke databehandleraftale. Videregivelsen skal have hjemmel og fremgå af fortegnelse og privatlivspolitik.</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og leverandøren er fælles dataansvarlige. Der indgås en ordning efter artikel 26 (Datatilsynet har en særskilt skabelon).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Blandet rolle: </w:t>
      </w:r>
      <w:r>
        <w:rPr>
          <w:rFonts w:ascii="Calibri" w:cs="Calibri" w:eastAsia="Calibri" w:hAnsi="Calibri"/>
          <w:color w:val="1C1917"/>
          <w:sz w:val="22"/>
          <w:szCs w:val="22"/>
          <w:shd w:fill="E8E6E1" w:color="auto" w:val="clear"/>
        </w:rPr>
        <w:t xml:space="preserve">[Beskriv, hvilke behandlinger leverandøren udfører som databehandler, og hvilke som dataansvarlig]</w:t>
      </w:r>
      <w:r>
        <w:rPr>
          <w:rFonts w:ascii="Calibri" w:cs="Calibri" w:eastAsia="Calibri" w:hAnsi="Calibri"/>
          <w:color w:val="1C1917"/>
          <w:sz w:val="22"/>
          <w:szCs w:val="22"/>
        </w:rPr>
        <w:t xml:space="preserv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Vurderet af</w:t>
      </w:r>
      <w:r>
        <w:t xml:space="preserve">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den </w:t>
      </w:r>
      <w:r>
        <w:rPr>
          <w:rFonts w:ascii="Calibri" w:cs="Calibri" w:eastAsia="Calibri" w:hAnsi="Calibri"/>
          <w:color w:val="1C1917"/>
          <w:sz w:val="22"/>
          <w:szCs w:val="22"/>
          <w:shd w:fill="E8E6E1" w:color="auto" w:val="clear"/>
        </w:rPr>
        <w:t xml:space="preserve">[Dato]</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Tommelfingerregel: Er de fire første udsagn sande og de to sidste falske, er leverandøren databehandler. Revisorer, advokater og andre rådgivere med eget fagligt skøn er typisk selvstændigt dataansvarlige - en databehandleraftale med dem er misvisende. Udbyderen af en ekstern whistleblowerportal er typisk databehandler, mens en ekstern advokat, der selv undersøger sagerne, kan være selvstændigt dataansvarlig (jf. Datatilsynets udtalelse fra 2021).</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leverandør kan være databehandler for selve ydelsen og samtidig dataansvarlig for egne formål (fx fakturering af jer). Aftalen dækker kun det første.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Valg i standardbestemmelserne (internt arbejdspapir)</w:t>
      </w:r>
    </w:p>
    <w:p>
      <w:pPr>
        <w:spacing w:after="120" w:line="288" w:lineRule="auto"/>
      </w:pPr>
      <w:r>
        <w:rPr>
          <w:rFonts w:ascii="Calibri" w:cs="Calibri" w:eastAsia="Calibri" w:hAnsi="Calibri"/>
          <w:color w:val="1C1917"/>
          <w:sz w:val="22"/>
          <w:szCs w:val="22"/>
        </w:rPr>
        <w:t xml:space="preserve">Følgende felter i Datatilsynets standardbestemmelser skal udfyldes eller vælges. Notér valget her, og indsæt det i bestemmelserne. Slet den mulighed, der ikke er valgt, og slet selve markeringen (fx "</w:t>
      </w:r>
      <w:r>
        <w:rPr>
          <w:rFonts w:ascii="Calibri" w:cs="Calibri" w:eastAsia="Calibri" w:hAnsi="Calibri"/>
          <w:color w:val="1C1917"/>
          <w:sz w:val="22"/>
          <w:szCs w:val="22"/>
          <w:shd w:fill="E8E6E1" w:color="auto" w:val="clear"/>
        </w:rPr>
        <w:t xml:space="preserve">[VALG 1]</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Forside og pkt. 2 (præambel)</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Dataansvarlig</w:t>
      </w:r>
      <w:r>
        <w:t xml:space="preserve">	</w:t>
      </w:r>
      <w:r>
        <w:rPr>
          <w:rFonts w:ascii="Calibri" w:cs="Calibri" w:eastAsia="Calibri" w:hAnsi="Calibri"/>
          <w:color w:val="1C1917"/>
          <w:sz w:val="22"/>
          <w:szCs w:val="22"/>
          <w:shd w:fill="E8E6E1" w:color="auto" w:val="clear"/>
        </w:rPr>
        <w:t xml:space="preserve">[Navn, CVR-nr., adresse, postnr. og by, land]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Databehandler</w:t>
      </w:r>
      <w:r>
        <w:t xml:space="preserve">	</w:t>
      </w:r>
      <w:r>
        <w:rPr>
          <w:rFonts w:ascii="Calibri" w:cs="Calibri" w:eastAsia="Calibri" w:hAnsi="Calibri"/>
          <w:color w:val="1C1917"/>
          <w:sz w:val="22"/>
          <w:szCs w:val="22"/>
          <w:shd w:fill="E8E6E1" w:color="auto" w:val="clear"/>
        </w:rPr>
        <w:t xml:space="preserve">[Navn, CVR-nr., adresse, postnr. og by, land]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Tjenesten</w:t>
      </w:r>
      <w:r>
        <w:t xml:space="preserve">	</w:t>
      </w:r>
      <w:r>
        <w:rPr>
          <w:rFonts w:ascii="Calibri" w:cs="Calibri" w:eastAsia="Calibri" w:hAnsi="Calibri"/>
          <w:color w:val="1C1917"/>
          <w:sz w:val="22"/>
          <w:szCs w:val="22"/>
          <w:shd w:fill="E8E6E1" w:color="auto" w:val="clear"/>
        </w:rPr>
        <w:t xml:space="preserve">[Navn på ydelsen og hovedaftalen, fx "drift af lønsystem efter aftale af (dato)"]</w:t>
      </w:r>
    </w:p>
    <w:p>
      <w:pPr>
        <w:keepNext/>
        <w:spacing w:after="80" w:before="220"/>
      </w:pPr>
      <w:r>
        <w:rPr>
          <w:rFonts w:ascii="Calibri" w:cs="Calibri" w:eastAsia="Calibri" w:hAnsi="Calibri"/>
          <w:b/>
          <w:bCs/>
          <w:color w:val="28394A"/>
          <w:sz w:val="22"/>
          <w:szCs w:val="22"/>
        </w:rPr>
        <w:t xml:space="preserve">Pkt. 7 - underdatabehandlere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VALG 1 - forudgående </w:t>
      </w:r>
      <w:r>
        <w:rPr>
          <w:rFonts w:ascii="Calibri" w:cs="Calibri" w:eastAsia="Calibri" w:hAnsi="Calibri"/>
          <w:b/>
          <w:bCs/>
          <w:color w:val="1C1917"/>
          <w:sz w:val="22"/>
          <w:szCs w:val="22"/>
        </w:rPr>
        <w:t xml:space="preserve">specifik</w:t>
      </w:r>
      <w:r>
        <w:rPr>
          <w:rFonts w:ascii="Calibri" w:cs="Calibri" w:eastAsia="Calibri" w:hAnsi="Calibri"/>
          <w:color w:val="1C1917"/>
          <w:sz w:val="22"/>
          <w:szCs w:val="22"/>
        </w:rPr>
        <w:t xml:space="preserve"> godkendelse. Databehandleren skal anmode om godkendelse mindst </w:t>
      </w:r>
      <w:r>
        <w:rPr>
          <w:rFonts w:ascii="Calibri" w:cs="Calibri" w:eastAsia="Calibri" w:hAnsi="Calibri"/>
          <w:color w:val="1C1917"/>
          <w:sz w:val="22"/>
          <w:szCs w:val="22"/>
          <w:shd w:fill="E8E6E1" w:color="auto" w:val="clear"/>
        </w:rPr>
        <w:t xml:space="preserve">[Antal dage/uger]</w:t>
      </w:r>
      <w:r>
        <w:rPr>
          <w:rFonts w:ascii="Calibri" w:cs="Calibri" w:eastAsia="Calibri" w:hAnsi="Calibri"/>
          <w:color w:val="1C1917"/>
          <w:sz w:val="22"/>
          <w:szCs w:val="22"/>
        </w:rPr>
        <w:t xml:space="preserve"> før en ny underdatabehandler tages i brug.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VALG 2 - forudgående </w:t>
      </w:r>
      <w:r>
        <w:rPr>
          <w:rFonts w:ascii="Calibri" w:cs="Calibri" w:eastAsia="Calibri" w:hAnsi="Calibri"/>
          <w:b/>
          <w:bCs/>
          <w:color w:val="1C1917"/>
          <w:sz w:val="22"/>
          <w:szCs w:val="22"/>
        </w:rPr>
        <w:t xml:space="preserve">generel</w:t>
      </w:r>
      <w:r>
        <w:rPr>
          <w:rFonts w:ascii="Calibri" w:cs="Calibri" w:eastAsia="Calibri" w:hAnsi="Calibri"/>
          <w:color w:val="1C1917"/>
          <w:sz w:val="22"/>
          <w:szCs w:val="22"/>
        </w:rPr>
        <w:t xml:space="preserve"> godkendelse. Databehandleren skal varsle tilføjelse eller udskiftning af underdatabehandlere mindst </w:t>
      </w:r>
      <w:r>
        <w:rPr>
          <w:rFonts w:ascii="Calibri" w:cs="Calibri" w:eastAsia="Calibri" w:hAnsi="Calibri"/>
          <w:color w:val="1C1917"/>
          <w:sz w:val="22"/>
          <w:szCs w:val="22"/>
          <w:shd w:fill="E8E6E1" w:color="auto" w:val="clear"/>
        </w:rPr>
        <w:t xml:space="preserve">[Antal dage/uger]</w:t>
      </w:r>
      <w:r>
        <w:rPr>
          <w:rFonts w:ascii="Calibri" w:cs="Calibri" w:eastAsia="Calibri" w:hAnsi="Calibri"/>
          <w:color w:val="1C1917"/>
          <w:sz w:val="22"/>
          <w:szCs w:val="22"/>
        </w:rPr>
        <w:t xml:space="preserve"> i forvejen, så den dataansvarlige kan gøre indsigelse.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Valget skal indsættes to steder i pkt. 7 (den indledende sætning og det efterfølgende afsnit). VALG 1 giver mest kontrol og passer til følsomme behandlinger og få, faste underleverandører. VALG 2 er det almindelige for standardiserede cloudydelser. Ved VALG 2 bør varslet være langt nok til, at I reelt kan nå at vurdere den nye underdatabehandler og eventuelt skifte leverandør - 30 dage er udbredt.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VALGFRI bestemmelse 7.6 medtages: den dataansvarlige indsættes som begunstiget tredjemand i underdatabehandleraftalerne (relevant ved risiko for databehandlerens konkurs eller ophør).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Bestemmelse 7.6 udelades.</w:t>
      </w:r>
    </w:p>
    <w:p>
      <w:pPr>
        <w:keepNext/>
        <w:spacing w:after="80" w:before="220"/>
      </w:pPr>
      <w:r>
        <w:rPr>
          <w:rFonts w:ascii="Calibri" w:cs="Calibri" w:eastAsia="Calibri" w:hAnsi="Calibri"/>
          <w:b/>
          <w:bCs/>
          <w:color w:val="28394A"/>
          <w:sz w:val="22"/>
          <w:szCs w:val="22"/>
        </w:rPr>
        <w:t xml:space="preserve">Pkt. 9 - bistand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Kompetent tilsynsmyndighed</w:t>
      </w:r>
      <w:r>
        <w:t xml:space="preserve">	</w:t>
      </w:r>
      <w:r>
        <w:rPr>
          <w:rFonts w:ascii="Calibri" w:cs="Calibri" w:eastAsia="Calibri" w:hAnsi="Calibri"/>
          <w:color w:val="1C1917"/>
          <w:sz w:val="22"/>
          <w:szCs w:val="22"/>
          <w:shd w:fill="E8E6E1" w:color="auto" w:val="clear"/>
        </w:rPr>
        <w:t xml:space="preserve">[Datatilsynet]</w:t>
      </w:r>
      <w:r>
        <w:rPr>
          <w:rFonts w:ascii="Calibri" w:cs="Calibri" w:eastAsia="Calibri" w:hAnsi="Calibri"/>
          <w:color w:val="1C1917"/>
          <w:sz w:val="22"/>
          <w:szCs w:val="22"/>
        </w:rPr>
        <w:t xml:space="preserve"> (indsættes to steder i pkt. 9.2)</w:t>
      </w:r>
    </w:p>
    <w:p>
      <w:pPr>
        <w:keepNext/>
        <w:spacing w:after="80" w:before="220"/>
      </w:pPr>
      <w:r>
        <w:rPr>
          <w:rFonts w:ascii="Calibri" w:cs="Calibri" w:eastAsia="Calibri" w:hAnsi="Calibri"/>
          <w:b/>
          <w:bCs/>
          <w:color w:val="28394A"/>
          <w:sz w:val="22"/>
          <w:szCs w:val="22"/>
        </w:rPr>
        <w:t xml:space="preserve">Pkt. 10 - brud på persondatasikkerheden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Underretning senest</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timer efter, at databehandleren er blevet bekendt med bruddet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Den dataansvarlige skal anmelde brud til Datatilsynet uden unødig forsinkelse og om muligt inden 72 timer (artikel 33). Fristen her skal levne tid til jeres egen vurdering og anmeldelse - 24-48 timer er almindeligt. Skriv ikke 72 timer.</w:t>
      </w:r>
    </w:p>
    <w:p>
      <w:pPr>
        <w:keepNext/>
        <w:spacing w:after="80" w:before="220"/>
      </w:pPr>
      <w:r>
        <w:rPr>
          <w:rFonts w:ascii="Calibri" w:cs="Calibri" w:eastAsia="Calibri" w:hAnsi="Calibri"/>
          <w:b/>
          <w:bCs/>
          <w:color w:val="28394A"/>
          <w:sz w:val="22"/>
          <w:szCs w:val="22"/>
        </w:rPr>
        <w:t xml:space="preserve">Pkt. 11 - sletning og returnering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VALG 1 - ved ophør sletter databehandleren alle oplysninger og bekræfter sletningen over for den dataansvarlige.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VALG 2 - ved ophør tilbageleverer databehandleren alle oplysninger og sletter eksisterende kopier.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HVIS RELEVANT - databehandleren er efter lovgivning forpligtet til at opbevare oplysningerne efter ophør: </w:t>
      </w:r>
      <w:r>
        <w:rPr>
          <w:rFonts w:ascii="Calibri" w:cs="Calibri" w:eastAsia="Calibri" w:hAnsi="Calibri"/>
          <w:color w:val="1C1917"/>
          <w:sz w:val="22"/>
          <w:szCs w:val="22"/>
          <w:shd w:fill="E8E6E1" w:color="auto" w:val="clear"/>
        </w:rPr>
        <w:t xml:space="preserve">[Angiv regel, fx bestemmelse i bogføringsloven, og hvilke oplysninger den omfatter]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Ingen lovkrav om opbevaring hos databehandleren efter ophør. Afsnittet slettes.</w:t>
      </w:r>
    </w:p>
    <w:p>
      <w:pPr>
        <w:keepNext/>
        <w:spacing w:after="80" w:before="220"/>
      </w:pPr>
      <w:r>
        <w:rPr>
          <w:rFonts w:ascii="Calibri" w:cs="Calibri" w:eastAsia="Calibri" w:hAnsi="Calibri"/>
          <w:b/>
          <w:bCs/>
          <w:color w:val="28394A"/>
          <w:sz w:val="22"/>
          <w:szCs w:val="22"/>
        </w:rPr>
        <w:t xml:space="preserve">Pkt. 15 - kontaktpersoner og underskrift</w:t>
      </w:r>
    </w:p>
    <w:p>
      <w:pPr>
        <w:spacing w:after="120" w:line="288" w:lineRule="auto"/>
      </w:pPr>
      <w:r>
        <w:rPr>
          <w:rFonts w:ascii="Calibri" w:cs="Calibri" w:eastAsia="Calibri" w:hAnsi="Calibri"/>
          <w:color w:val="1C1917"/>
          <w:sz w:val="22"/>
          <w:szCs w:val="22"/>
        </w:rPr>
        <w:t xml:space="preserve">Kontaktpersoner (navn, stilling, telefon, e-mail) og underskrivere for begge parter udfyldes direkte i Datatilsynets dokument.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Pkt. 4 indeholder en note om, at parterne bør overveje konsekvenserne af en ulovlig instruks. Regulér det i bilag D (fx at databehandleren må sætte behandlingen i bero, indtil instruksen er afklaret), og slet noten i bestemmelserne.</w:t>
      </w:r>
    </w:p>
    <w:p>
      <w:pPr>
        <w:pageBreakBefore/>
      </w:pPr>
    </w:p>
    <w:p>
      <w:pPr>
        <w:keepNext/>
        <w:spacing w:after="80" w:before="220"/>
      </w:pPr>
      <w:r>
        <w:rPr>
          <w:rFonts w:ascii="Calibri" w:cs="Calibri" w:eastAsia="Calibri" w:hAnsi="Calibri"/>
          <w:b/>
          <w:bCs/>
          <w:color w:val="28394A"/>
          <w:sz w:val="22"/>
          <w:szCs w:val="22"/>
        </w:rPr>
        <w:t xml:space="preserve">Bilag A - Oplysninger om behandlingen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Udfyld A.1-A.5 for hver behandlingsaktivitet. Har aftalen flere aktiviteter (fx "lønbehandling" og "rekruttering"), kopiér afsnittet og nummerér aktiviteterne.</w:t>
      </w:r>
    </w:p>
    <w:p>
      <w:pPr>
        <w:spacing w:after="120" w:line="288" w:lineRule="auto"/>
      </w:pPr>
      <w:r>
        <w:rPr>
          <w:rFonts w:ascii="Calibri" w:cs="Calibri" w:eastAsia="Calibri" w:hAnsi="Calibri"/>
          <w:b/>
          <w:bCs/>
          <w:color w:val="1C1917"/>
          <w:sz w:val="22"/>
          <w:szCs w:val="22"/>
        </w:rPr>
        <w:t xml:space="preserve">Behandlingsaktivitet:</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[Navn på aktiviteten]</w:t>
      </w:r>
    </w:p>
    <w:p>
      <w:pPr>
        <w:keepNext/>
        <w:spacing w:after="80" w:before="220"/>
      </w:pPr>
      <w:r>
        <w:rPr>
          <w:rFonts w:ascii="Calibri" w:cs="Calibri" w:eastAsia="Calibri" w:hAnsi="Calibri"/>
          <w:b/>
          <w:bCs/>
          <w:color w:val="28394A"/>
          <w:sz w:val="22"/>
          <w:szCs w:val="22"/>
        </w:rPr>
        <w:t xml:space="preserve">A.1 Formålet med databehandlerens behandling af personoplysninger på vegne af den dataansvarlige</w:t>
      </w:r>
    </w:p>
    <w:p>
      <w:pPr>
        <w:spacing w:after="120" w:line="288" w:lineRule="auto"/>
      </w:pPr>
      <w:r>
        <w:rPr>
          <w:rFonts w:ascii="Calibri" w:cs="Calibri" w:eastAsia="Calibri" w:hAnsi="Calibri"/>
          <w:color w:val="1C1917"/>
          <w:sz w:val="22"/>
          <w:szCs w:val="22"/>
          <w:shd w:fill="E8E6E1" w:color="auto" w:val="clear"/>
        </w:rPr>
        <w:t xml:space="preserve">[Beskriv formålet, fx "at beregne og udbetale løn, indberette til eIndkomst og levere lønsedler til den dataansvarliges medarbejdere"]</w:t>
      </w:r>
    </w:p>
    <w:p>
      <w:pPr>
        <w:keepNext/>
        <w:spacing w:after="80" w:before="220"/>
      </w:pPr>
      <w:r>
        <w:rPr>
          <w:rFonts w:ascii="Calibri" w:cs="Calibri" w:eastAsia="Calibri" w:hAnsi="Calibri"/>
          <w:b/>
          <w:bCs/>
          <w:color w:val="28394A"/>
          <w:sz w:val="22"/>
          <w:szCs w:val="22"/>
        </w:rPr>
        <w:t xml:space="preserve">A.2 Karakteren af behandlingen</w:t>
      </w:r>
    </w:p>
    <w:p>
      <w:pPr>
        <w:spacing w:after="120" w:line="288" w:lineRule="auto"/>
      </w:pPr>
      <w:r>
        <w:rPr>
          <w:rFonts w:ascii="Calibri" w:cs="Calibri" w:eastAsia="Calibri" w:hAnsi="Calibri"/>
          <w:color w:val="1C1917"/>
          <w:sz w:val="22"/>
          <w:szCs w:val="22"/>
        </w:rPr>
        <w:t xml:space="preserve">Databehandlerens behandling af personoplysninger på vegne af den dataansvarlige drejer sig primært om:</w:t>
      </w:r>
    </w:p>
    <w:p>
      <w:pPr>
        <w:spacing w:after="120" w:line="288" w:lineRule="auto"/>
      </w:pPr>
      <w:r>
        <w:rPr>
          <w:rFonts w:ascii="Calibri" w:cs="Calibri" w:eastAsia="Calibri" w:hAnsi="Calibri"/>
          <w:color w:val="1C1917"/>
          <w:sz w:val="22"/>
          <w:szCs w:val="22"/>
          <w:shd w:fill="E8E6E1" w:color="auto" w:val="clear"/>
        </w:rPr>
        <w:t xml:space="preserve">[Beskriv, hvad databehandleren gør med oplysningerne, fx "hosting, drift, backup og support af systemet; indlæsning og beregning; generering af rapporter"]</w:t>
      </w:r>
    </w:p>
    <w:p>
      <w:pPr>
        <w:keepNext/>
        <w:spacing w:after="80" w:before="220"/>
      </w:pPr>
      <w:r>
        <w:rPr>
          <w:rFonts w:ascii="Calibri" w:cs="Calibri" w:eastAsia="Calibri" w:hAnsi="Calibri"/>
          <w:b/>
          <w:bCs/>
          <w:color w:val="28394A"/>
          <w:sz w:val="22"/>
          <w:szCs w:val="22"/>
        </w:rPr>
        <w:t xml:space="preserve">A.3 Typer af personoplysninger</w:t>
      </w:r>
    </w:p>
    <w:p>
      <w:pPr>
        <w:spacing w:after="120" w:line="288" w:lineRule="auto"/>
      </w:pPr>
      <w:r>
        <w:rPr>
          <w:rFonts w:ascii="Calibri" w:cs="Calibri" w:eastAsia="Calibri" w:hAnsi="Calibri"/>
          <w:color w:val="1C1917"/>
          <w:sz w:val="22"/>
          <w:szCs w:val="22"/>
        </w:rPr>
        <w:t xml:space="preserve">Behandlingen omfatter følgende typer af personoplysninger om de registrerede: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016"/>
        <w:gridCol w:w="4031"/>
        <w:gridCol w:w="3023"/>
      </w:tblGrid>
      <w:tr>
        <w:trPr>
          <w:tblHeader/>
        </w:trPr>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Kategori af registrerede</w:t>
            </w:r>
          </w:p>
        </w:tc>
        <w:tc>
          <w:tcPr>
            <w:tcW w:type="dxa" w:w="403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Typer af oplysninger</w:t>
            </w:r>
          </w:p>
        </w:tc>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Særlige typer</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medarbejdere]</w:t>
            </w:r>
          </w:p>
        </w:tc>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navn, adresse, e-mail, telefon, stilling, lønoplysninger, bankkonto, skattekort]</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CPR-nr.  ☐ Helbred  ☐ Fagforening  ☐ Strafbare forhold  ☐ Andet: </w:t>
            </w:r>
            <w:r>
              <w:rPr>
                <w:rFonts w:ascii="Calibri" w:cs="Calibri" w:eastAsia="Calibri" w:hAnsi="Calibri"/>
                <w:color w:val="1C1917"/>
                <w:sz w:val="19"/>
                <w:szCs w:val="19"/>
                <w:shd w:fill="E8E6E1" w:color="auto" w:val="clear"/>
              </w:rPr>
              <w:t xml:space="preserve">[Angiv]</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kunder]</w:t>
            </w:r>
          </w:p>
        </w:tc>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[Typer]</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CPR-nr.  ☐ Helbred  ☐ Strafbare forhold  ☐ Andet: </w:t>
            </w:r>
            <w:r>
              <w:rPr>
                <w:rFonts w:ascii="Calibri" w:cs="Calibri" w:eastAsia="Calibri" w:hAnsi="Calibri"/>
                <w:color w:val="1C1917"/>
                <w:sz w:val="19"/>
                <w:szCs w:val="19"/>
                <w:shd w:fill="E8E6E1" w:color="auto" w:val="clear"/>
              </w:rPr>
              <w:t xml:space="preserve">[Angiv]</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Vær konkret. Det er ikke nok at skrive "personoplysninger, jf. artikel 4, nr. 1" eller "oplysninger efter artikel 6 og 9". Angiv de faktiske oplysningstyper. Følsomme oplysninger (artikel 9), strafbare forhold og CPR-nr. skal fremgå særskilt, fordi de påvirker sikkerhedsniveauet i C.2.</w:t>
      </w:r>
    </w:p>
    <w:p>
      <w:pPr>
        <w:keepNext/>
        <w:spacing w:after="80" w:before="220"/>
      </w:pPr>
      <w:r>
        <w:rPr>
          <w:rFonts w:ascii="Calibri" w:cs="Calibri" w:eastAsia="Calibri" w:hAnsi="Calibri"/>
          <w:b/>
          <w:bCs/>
          <w:color w:val="28394A"/>
          <w:sz w:val="22"/>
          <w:szCs w:val="22"/>
        </w:rPr>
        <w:t xml:space="preserve">A.4 Kategorier af registrerede</w:t>
      </w:r>
    </w:p>
    <w:p>
      <w:pPr>
        <w:spacing w:after="120" w:line="288" w:lineRule="auto"/>
      </w:pPr>
      <w:r>
        <w:rPr>
          <w:rFonts w:ascii="Calibri" w:cs="Calibri" w:eastAsia="Calibri" w:hAnsi="Calibri"/>
          <w:color w:val="1C1917"/>
          <w:sz w:val="22"/>
          <w:szCs w:val="22"/>
        </w:rPr>
        <w:t xml:space="preserve">Behandlingen omfatter følgende kategorier af registrerede:</w:t>
      </w:r>
    </w:p>
    <w:p>
      <w:pPr>
        <w:spacing w:after="120" w:line="288" w:lineRule="auto"/>
      </w:pPr>
      <w:r>
        <w:rPr>
          <w:rFonts w:ascii="Calibri" w:cs="Calibri" w:eastAsia="Calibri" w:hAnsi="Calibri"/>
          <w:color w:val="1C1917"/>
          <w:sz w:val="22"/>
          <w:szCs w:val="22"/>
          <w:shd w:fill="E8E6E1" w:color="auto" w:val="clear"/>
        </w:rPr>
        <w:t xml:space="preserve">[Fx nuværende og tidligere medarbejdere, jobansøgere, kunder (privatpersoner), kontaktpersoner hos erhvervskunder, børn under 15 år]</w:t>
      </w:r>
    </w:p>
    <w:p>
      <w:pPr>
        <w:keepNext/>
        <w:spacing w:after="80" w:before="220"/>
      </w:pPr>
      <w:r>
        <w:rPr>
          <w:rFonts w:ascii="Calibri" w:cs="Calibri" w:eastAsia="Calibri" w:hAnsi="Calibri"/>
          <w:b/>
          <w:bCs/>
          <w:color w:val="28394A"/>
          <w:sz w:val="22"/>
          <w:szCs w:val="22"/>
        </w:rPr>
        <w:t xml:space="preserve">A.5 Varighed</w:t>
      </w:r>
    </w:p>
    <w:p>
      <w:pPr>
        <w:spacing w:after="120" w:line="288" w:lineRule="auto"/>
      </w:pPr>
      <w:r>
        <w:rPr>
          <w:rFonts w:ascii="Calibri" w:cs="Calibri" w:eastAsia="Calibri" w:hAnsi="Calibri"/>
          <w:color w:val="1C1917"/>
          <w:sz w:val="22"/>
          <w:szCs w:val="22"/>
        </w:rPr>
        <w:t xml:space="preserve">Databehandlerens behandling af personoplysninger på vegne af den dataansvarlige kan påbegyndes efter bestemmelsernes ikrafttræden. Behandlingen har følgende varighed: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Behandlingen varer, så længe hovedaftalen om </w:t>
      </w:r>
      <w:r>
        <w:rPr>
          <w:rFonts w:ascii="Calibri" w:cs="Calibri" w:eastAsia="Calibri" w:hAnsi="Calibri"/>
          <w:color w:val="1C1917"/>
          <w:sz w:val="22"/>
          <w:szCs w:val="22"/>
          <w:shd w:fill="E8E6E1" w:color="auto" w:val="clear"/>
        </w:rPr>
        <w:t xml:space="preserve">[Tjenesten]</w:t>
      </w:r>
      <w:r>
        <w:rPr>
          <w:rFonts w:ascii="Calibri" w:cs="Calibri" w:eastAsia="Calibri" w:hAnsi="Calibri"/>
          <w:color w:val="1C1917"/>
          <w:sz w:val="22"/>
          <w:szCs w:val="22"/>
        </w:rPr>
        <w:t xml:space="preserve"> er i kraft.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Behandlingen er tidsbegrænset og ophører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pageBreakBefore/>
      </w:pPr>
    </w:p>
    <w:p>
      <w:pPr>
        <w:keepNext/>
        <w:spacing w:after="80" w:before="220"/>
      </w:pPr>
      <w:r>
        <w:rPr>
          <w:rFonts w:ascii="Calibri" w:cs="Calibri" w:eastAsia="Calibri" w:hAnsi="Calibri"/>
          <w:b/>
          <w:bCs/>
          <w:color w:val="28394A"/>
          <w:sz w:val="22"/>
          <w:szCs w:val="22"/>
        </w:rPr>
        <w:t xml:space="preserve">Bilag B - Underdatabehandlere</w:t>
      </w:r>
    </w:p>
    <w:p>
      <w:pPr>
        <w:keepNext/>
        <w:spacing w:after="80" w:before="220"/>
      </w:pPr>
      <w:r>
        <w:rPr>
          <w:rFonts w:ascii="Calibri" w:cs="Calibri" w:eastAsia="Calibri" w:hAnsi="Calibri"/>
          <w:b/>
          <w:bCs/>
          <w:color w:val="28394A"/>
          <w:sz w:val="22"/>
          <w:szCs w:val="22"/>
        </w:rPr>
        <w:t xml:space="preserve">B.1 Godkendte underdatabehandlere</w:t>
      </w:r>
    </w:p>
    <w:p>
      <w:pPr>
        <w:spacing w:after="120" w:line="288" w:lineRule="auto"/>
      </w:pPr>
      <w:r>
        <w:rPr>
          <w:rFonts w:ascii="Calibri" w:cs="Calibri" w:eastAsia="Calibri" w:hAnsi="Calibri"/>
          <w:color w:val="1C1917"/>
          <w:sz w:val="22"/>
          <w:szCs w:val="22"/>
        </w:rPr>
        <w:t xml:space="preserve">Ved bestemmelsernes ikrafttræden har den dataansvarlige godkendt brugen af følgende underdatabehandlere: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814"/>
        <w:gridCol w:w="1814"/>
        <w:gridCol w:w="2721"/>
        <w:gridCol w:w="2721"/>
      </w:tblGrid>
      <w:tr>
        <w:trPr>
          <w:tblHeader/>
        </w:trPr>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Navn</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CVR-nr. / reg.nr.</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Adresse (behandlingssted)</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 af behandling</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Angiv det faktiske behandlingssted (datacenter/land), ikke kun selskabets hovedkontor. Tag hele kæden med: koncernselskaber, supportfunktioner og underdatabehandlernes egne underdatabehandlere, der har adgang til oplysningerne. Datatilsynet lagde i 2026 vægt på, at den dataansvarlige har en ajourført og retvisende liste over samtlige (under)databehandlere. Ligger et behandlingssted uden for EU/EØS, skal det også fremgå af C.6.</w:t>
      </w:r>
    </w:p>
    <w:p>
      <w:pPr>
        <w:spacing w:after="120" w:line="288" w:lineRule="auto"/>
      </w:pPr>
      <w:r>
        <w:rPr>
          <w:rFonts w:ascii="Calibri" w:cs="Calibri" w:eastAsia="Calibri" w:hAnsi="Calibri"/>
          <w:color w:val="1C1917"/>
          <w:sz w:val="22"/>
          <w:szCs w:val="22"/>
        </w:rPr>
        <w:t xml:space="preserve">Den dataansvarlige har ved bestemmelsernes ikrafttræden godkendt de nævnte underdatabehandlere til den beskrevne behandlingsaktivitet. Databehandleren må ikke uden den dataansvarliges skriftlige godkendelse bruge en underdatabehandler til en anden behandlingsaktivitet end den beskrevne eller bruge en anden underdatabehandler til denne behandlingsaktivitet.</w:t>
      </w:r>
    </w:p>
    <w:p>
      <w:pPr>
        <w:keepNext/>
        <w:spacing w:after="80" w:before="220"/>
      </w:pPr>
      <w:r>
        <w:rPr>
          <w:rFonts w:ascii="Calibri" w:cs="Calibri" w:eastAsia="Calibri" w:hAnsi="Calibri"/>
          <w:b/>
          <w:bCs/>
          <w:color w:val="28394A"/>
          <w:sz w:val="22"/>
          <w:szCs w:val="22"/>
        </w:rPr>
        <w:t xml:space="preserve">B.2 Varsel for godkendelse af underdatabehandlere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gælder ikke et længere varsel end angivet i pkt. 7.</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For behandlingsaktiviteten </w:t>
      </w:r>
      <w:r>
        <w:rPr>
          <w:rFonts w:ascii="Calibri" w:cs="Calibri" w:eastAsia="Calibri" w:hAnsi="Calibri"/>
          <w:color w:val="1C1917"/>
          <w:sz w:val="22"/>
          <w:szCs w:val="22"/>
          <w:shd w:fill="E8E6E1" w:color="auto" w:val="clear"/>
        </w:rPr>
        <w:t xml:space="preserve">[Aktivitet]</w:t>
      </w:r>
      <w:r>
        <w:rPr>
          <w:rFonts w:ascii="Calibri" w:cs="Calibri" w:eastAsia="Calibri" w:hAnsi="Calibri"/>
          <w:color w:val="1C1917"/>
          <w:sz w:val="22"/>
          <w:szCs w:val="22"/>
        </w:rPr>
        <w:t xml:space="preserve"> gælder et varsel på </w:t>
      </w:r>
      <w:r>
        <w:rPr>
          <w:rFonts w:ascii="Calibri" w:cs="Calibri" w:eastAsia="Calibri" w:hAnsi="Calibri"/>
          <w:color w:val="1C1917"/>
          <w:sz w:val="22"/>
          <w:szCs w:val="22"/>
          <w:shd w:fill="E8E6E1" w:color="auto" w:val="clear"/>
        </w:rPr>
        <w:t xml:space="preserve">[Antal dage/uger]</w:t>
      </w:r>
      <w:r>
        <w:rPr>
          <w:rFonts w:ascii="Calibri" w:cs="Calibri" w:eastAsia="Calibri" w:hAnsi="Calibri"/>
          <w:color w:val="1C1917"/>
          <w:sz w:val="22"/>
          <w:szCs w:val="22"/>
        </w:rPr>
        <w:t xml:space="preserve">.</w:t>
      </w:r>
    </w:p>
    <w:p>
      <w:pPr>
        <w:pageBreakBefore/>
      </w:pPr>
    </w:p>
    <w:p>
      <w:pPr>
        <w:keepNext/>
        <w:spacing w:after="80" w:before="220"/>
      </w:pPr>
      <w:r>
        <w:rPr>
          <w:rFonts w:ascii="Calibri" w:cs="Calibri" w:eastAsia="Calibri" w:hAnsi="Calibri"/>
          <w:b/>
          <w:bCs/>
          <w:color w:val="28394A"/>
          <w:sz w:val="22"/>
          <w:szCs w:val="22"/>
        </w:rPr>
        <w:t xml:space="preserve">Bilag C - Instruks vedrørende behandling af personoplysninger</w:t>
      </w:r>
    </w:p>
    <w:p>
      <w:pPr>
        <w:keepNext/>
        <w:spacing w:after="80" w:before="220"/>
      </w:pPr>
      <w:r>
        <w:rPr>
          <w:rFonts w:ascii="Calibri" w:cs="Calibri" w:eastAsia="Calibri" w:hAnsi="Calibri"/>
          <w:b/>
          <w:bCs/>
          <w:color w:val="28394A"/>
          <w:sz w:val="22"/>
          <w:szCs w:val="22"/>
        </w:rPr>
        <w:t xml:space="preserve">C.1 Behandlingens genstand/instruks</w:t>
      </w:r>
    </w:p>
    <w:p>
      <w:pPr>
        <w:spacing w:after="120" w:line="288" w:lineRule="auto"/>
      </w:pPr>
      <w:r>
        <w:rPr>
          <w:rFonts w:ascii="Calibri" w:cs="Calibri" w:eastAsia="Calibri" w:hAnsi="Calibri"/>
          <w:color w:val="1C1917"/>
          <w:sz w:val="22"/>
          <w:szCs w:val="22"/>
        </w:rPr>
        <w:t xml:space="preserve">Databehandlerens behandling af personoplysninger på vegne af den dataansvarlige sker ved, at databehandleren udfører følgende: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[Konkret handling 1, fx "modtager lønoplysninger fra den dataansvarliges HR-system via (integration)"]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[Konkret handling 2, fx "beregner løn og indberetter til Skattestyrelsen"]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[Konkret handling 3, fx "yder support, hvor supportmedarbejdere efter anmodning kan se data i systemet"]</w:t>
      </w:r>
    </w:p>
    <w:p>
      <w:pPr>
        <w:spacing w:after="120" w:line="288" w:lineRule="auto"/>
      </w:pPr>
      <w:r>
        <w:rPr>
          <w:rFonts w:ascii="Calibri" w:cs="Calibri" w:eastAsia="Calibri" w:hAnsi="Calibri"/>
          <w:color w:val="1C1917"/>
          <w:sz w:val="22"/>
          <w:szCs w:val="22"/>
        </w:rPr>
        <w:t xml:space="preserve">Systemer/tjenester, der er omfattet: </w:t>
      </w:r>
      <w:r>
        <w:rPr>
          <w:rFonts w:ascii="Calibri" w:cs="Calibri" w:eastAsia="Calibri" w:hAnsi="Calibri"/>
          <w:color w:val="1C1917"/>
          <w:sz w:val="22"/>
          <w:szCs w:val="22"/>
          <w:shd w:fill="E8E6E1" w:color="auto" w:val="clear"/>
        </w:rPr>
        <w:t xml:space="preserve">[Navn og version på system/modul]</w:t>
      </w:r>
    </w:p>
    <w:p>
      <w:pPr>
        <w:spacing w:after="120" w:line="288" w:lineRule="auto"/>
      </w:pPr>
      <w:r>
        <w:rPr>
          <w:rFonts w:ascii="Calibri" w:cs="Calibri" w:eastAsia="Calibri" w:hAnsi="Calibri"/>
          <w:color w:val="1C1917"/>
          <w:sz w:val="22"/>
          <w:szCs w:val="22"/>
        </w:rPr>
        <w:t xml:space="preserve">Databehandleren må ikke: </w:t>
      </w:r>
      <w:r>
        <w:rPr>
          <w:rFonts w:ascii="Calibri" w:cs="Calibri" w:eastAsia="Calibri" w:hAnsi="Calibri"/>
          <w:color w:val="1C1917"/>
          <w:sz w:val="22"/>
          <w:szCs w:val="22"/>
          <w:shd w:fill="E8E6E1" w:color="auto" w:val="clear"/>
        </w:rPr>
        <w:t xml:space="preserve">[Fx bruge oplysningerne til test, statistik, træning af AI-modeller, egen produktudvikling eller markedsføring]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C.1 er selve instruksen og det vigtigste bilag. En cirkulær instruks ("behandle oplysninger for at levere tjenesten") er utilstrækkelig. Beskriv konkret, hvad der sker med oplysningerne, og skriv udtrykkeligt, hvad databehandleren ikke må - særligt anvendelse af data til egne formål som produktudvikling og AI-træning.</w:t>
      </w:r>
    </w:p>
    <w:p>
      <w:pPr>
        <w:keepNext/>
        <w:spacing w:after="80" w:before="220"/>
      </w:pPr>
      <w:r>
        <w:rPr>
          <w:rFonts w:ascii="Calibri" w:cs="Calibri" w:eastAsia="Calibri" w:hAnsi="Calibri"/>
          <w:b/>
          <w:bCs/>
          <w:color w:val="28394A"/>
          <w:sz w:val="22"/>
          <w:szCs w:val="22"/>
        </w:rPr>
        <w:t xml:space="preserve">C.2 Behandlingssikkerhed</w:t>
      </w:r>
    </w:p>
    <w:p>
      <w:pPr>
        <w:spacing w:after="120" w:line="288" w:lineRule="auto"/>
      </w:pPr>
      <w:r>
        <w:rPr>
          <w:rFonts w:ascii="Calibri" w:cs="Calibri" w:eastAsia="Calibri" w:hAnsi="Calibri"/>
          <w:color w:val="1C1917"/>
          <w:sz w:val="22"/>
          <w:szCs w:val="22"/>
        </w:rPr>
        <w:t xml:space="preserve">Sikkerhedsniveauet skal afspejle: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Behandlingen omfatter almindelige personoplysninger i begrænset omfang. Der skal etableres et </w:t>
      </w:r>
      <w:r>
        <w:rPr>
          <w:rFonts w:ascii="Calibri" w:cs="Calibri" w:eastAsia="Calibri" w:hAnsi="Calibri"/>
          <w:b/>
          <w:bCs/>
          <w:color w:val="1C1917"/>
          <w:sz w:val="22"/>
          <w:szCs w:val="22"/>
        </w:rPr>
        <w:t xml:space="preserve">normalt</w:t>
      </w:r>
      <w:r>
        <w:rPr>
          <w:rFonts w:ascii="Calibri" w:cs="Calibri" w:eastAsia="Calibri" w:hAnsi="Calibri"/>
          <w:color w:val="1C1917"/>
          <w:sz w:val="22"/>
          <w:szCs w:val="22"/>
        </w:rPr>
        <w:t xml:space="preserve"> sikkerhedsniveau.</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Behandlingen omfatter en større mængde oplysninger, CPR-nr., følsomme oplysninger efter artikel 9 eller oplysninger om strafbare forhold. Der skal etableres et </w:t>
      </w:r>
      <w:r>
        <w:rPr>
          <w:rFonts w:ascii="Calibri" w:cs="Calibri" w:eastAsia="Calibri" w:hAnsi="Calibri"/>
          <w:b/>
          <w:bCs/>
          <w:color w:val="1C1917"/>
          <w:sz w:val="22"/>
          <w:szCs w:val="22"/>
        </w:rPr>
        <w:t xml:space="preserve">højt</w:t>
      </w:r>
      <w:r>
        <w:rPr>
          <w:rFonts w:ascii="Calibri" w:cs="Calibri" w:eastAsia="Calibri" w:hAnsi="Calibri"/>
          <w:color w:val="1C1917"/>
          <w:sz w:val="22"/>
          <w:szCs w:val="22"/>
        </w:rPr>
        <w:t xml:space="preserve"> sikkerhedsniveau.</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[Anden beskrivelse af de forhold, der er afgørende for sikkerhedsniveauet]</w:t>
      </w:r>
    </w:p>
    <w:p>
      <w:pPr>
        <w:spacing w:after="120" w:line="288" w:lineRule="auto"/>
      </w:pPr>
      <w:r>
        <w:rPr>
          <w:rFonts w:ascii="Calibri" w:cs="Calibri" w:eastAsia="Calibri" w:hAnsi="Calibri"/>
          <w:color w:val="1C1917"/>
          <w:sz w:val="22"/>
          <w:szCs w:val="22"/>
        </w:rPr>
        <w:t xml:space="preserve">Databehandleren er herefter berettiget og forpligtet til at træffe beslutninger om, hvilke tekniske og organisatoriske sikkerhedsforanstaltninger der skal gennemføres for at etablere det nødvendige (og aftalte) sikkerhedsniveau. Databehandleren skal dog under alle omstændigheder og som minimum gennemføre følgende foranstaltninger, som er aftalt med den dataansvarlige: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6047"/>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Område</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Aftalte minimumskrav</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Pseudonymisering og kryptering</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kryptering af data under opbevaring (AES-256 el.lign.) og under transmission (TLS 1.2 eller nyere)]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Fortrolighed, integritet, tilgængelighed og robusthed</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rollebaseret adgangsstyring efter need-to-know, to-faktor-login for administratorer, oppetidskrav]</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Genopretning efter hændelser</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daglig backup, opbevaret adskilt; genetablering inden for (antal) timer; årlig test af genetablering]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Test og evaluering af sikkerheden</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årlig penetrationstest, løbende sårbarhedsscanning, rettidig patching]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Adgang via internettet</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kun via krypteret forbindelse og med to-faktor-login]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Beskyttelse under transmission</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[Krav]</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Beskyttelse under opbevaring</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[Krav]</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Fysisk sikring af lokaliteter</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adgangskontrol til datacenter, alarm, brand- og vandsikring]</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Hjemme- og fjernarbejdspladser</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kun på administrerede enheder, ingen lokal lagring, VPN]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Logning</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logning af brugeradgang og ændringer; logs opbevares (periode) og beskyttes mod ændring]</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Områderne svarer til dem, Datatilsynets skabelon beder parterne tage stilling til. Skriv "ingen særlige krav ud over databehandlerens standard" hvor det er tilfældet - men overvej, om I så kan dokumentere et passende sikkerhedsniveau over for Datatilsynet. Henvis gerne til databehandlerens sikkerhedsbeskrivelse som underbilag, hvis den er tilstrækkeligt konkret.</w:t>
      </w:r>
    </w:p>
    <w:p>
      <w:pPr>
        <w:keepNext/>
        <w:spacing w:after="80" w:before="220"/>
      </w:pPr>
      <w:r>
        <w:rPr>
          <w:rFonts w:ascii="Calibri" w:cs="Calibri" w:eastAsia="Calibri" w:hAnsi="Calibri"/>
          <w:b/>
          <w:bCs/>
          <w:color w:val="28394A"/>
          <w:sz w:val="22"/>
          <w:szCs w:val="22"/>
        </w:rPr>
        <w:t xml:space="preserve">C.3 Bistand til den dataansvarlige</w:t>
      </w:r>
    </w:p>
    <w:p>
      <w:pPr>
        <w:spacing w:after="120" w:line="288" w:lineRule="auto"/>
      </w:pPr>
      <w:r>
        <w:rPr>
          <w:rFonts w:ascii="Calibri" w:cs="Calibri" w:eastAsia="Calibri" w:hAnsi="Calibri"/>
          <w:color w:val="1C1917"/>
          <w:sz w:val="22"/>
          <w:szCs w:val="22"/>
        </w:rPr>
        <w:t xml:space="preserve">Databehandleren skal så vidt muligt - inden for nedenstående omfang og udstrækning - bistå den dataansvarlige i overensstemmelse med bestemmelse 9.1 og 9.2 ved at gennemføre følgende tekniske og organisatoriske foranstaltninger: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6047"/>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Bistand til</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Omfang og foranstaltninger</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De registreredes rettigheder (indsigt, berigtigelse, sletning, dataportabilitet m.m.)</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systemet har funktion til udtræk og sletning pr. registreret; databehandleren besvarer anmodninger fra den dataansvarlige inden (antal) arbejdsdage]</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Anmeldelse af brud på persondatasikkerheden</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underretning indeholder mindst: hvad der er sket, tidspunkt, berørte kategorier og antal registrerede og oplysninger, sandsynlige konsekvenser, trufne og planlagte foranstaltninger, kontaktperson]</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Konsekvensanalyse og forudgående høring</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databehandleren stiller sikkerhedsdokumentation og oplysninger om behandlingen til rådighed]</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Henvendelser fra de registrerede direkte til databehandleren</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videresendes uden ugrundet ophold til den dataansvarlige og besvares ikke af databehandleren]</w:t>
            </w:r>
          </w:p>
        </w:tc>
      </w:tr>
    </w:tbl>
    <w:p>
      <w:pPr>
        <w:spacing w:after="160"/>
      </w:pPr>
    </w:p>
    <w:p>
      <w:pPr>
        <w:keepNext/>
        <w:spacing w:after="80" w:before="220"/>
      </w:pPr>
      <w:r>
        <w:rPr>
          <w:rFonts w:ascii="Calibri" w:cs="Calibri" w:eastAsia="Calibri" w:hAnsi="Calibri"/>
          <w:b/>
          <w:bCs/>
          <w:color w:val="28394A"/>
          <w:sz w:val="22"/>
          <w:szCs w:val="22"/>
        </w:rPr>
        <w:t xml:space="preserve">C.4 Opbevaringsperiode/sletterutine</w:t>
      </w:r>
    </w:p>
    <w:p>
      <w:pPr>
        <w:spacing w:after="120" w:line="288" w:lineRule="auto"/>
      </w:pPr>
      <w:r>
        <w:rPr>
          <w:rFonts w:ascii="Calibri" w:cs="Calibri" w:eastAsia="Calibri" w:hAnsi="Calibri"/>
          <w:color w:val="1C1917"/>
          <w:sz w:val="22"/>
          <w:szCs w:val="22"/>
        </w:rPr>
        <w:t xml:space="preserve">Personoplysninger opbevares hos databehandleren i </w:t>
      </w:r>
      <w:r>
        <w:rPr>
          <w:rFonts w:ascii="Calibri" w:cs="Calibri" w:eastAsia="Calibri" w:hAnsi="Calibri"/>
          <w:color w:val="1C1917"/>
          <w:sz w:val="22"/>
          <w:szCs w:val="22"/>
          <w:shd w:fill="E8E6E1" w:color="auto" w:val="clear"/>
        </w:rPr>
        <w:t xml:space="preserve">[Periode, fx "op til 30 dage efter, at de er slettet i den dataansvarliges system" / "så længe den dataansvarlige ikke selv har slettet dem"]</w:t>
      </w:r>
      <w:r>
        <w:rPr>
          <w:rFonts w:ascii="Calibri" w:cs="Calibri" w:eastAsia="Calibri" w:hAnsi="Calibri"/>
          <w:color w:val="1C1917"/>
          <w:sz w:val="22"/>
          <w:szCs w:val="22"/>
        </w:rPr>
        <w:t xml:space="preserve">, hvorefter de slettes. Backupkopier slettes senest </w:t>
      </w:r>
      <w:r>
        <w:rPr>
          <w:rFonts w:ascii="Calibri" w:cs="Calibri" w:eastAsia="Calibri" w:hAnsi="Calibri"/>
          <w:color w:val="1C1917"/>
          <w:sz w:val="22"/>
          <w:szCs w:val="22"/>
          <w:shd w:fill="E8E6E1" w:color="auto" w:val="clear"/>
        </w:rPr>
        <w:t xml:space="preserve">[Periode]</w:t>
      </w:r>
      <w:r>
        <w:rPr>
          <w:rFonts w:ascii="Calibri" w:cs="Calibri" w:eastAsia="Calibri" w:hAnsi="Calibri"/>
          <w:color w:val="1C1917"/>
          <w:sz w:val="22"/>
          <w:szCs w:val="22"/>
        </w:rPr>
        <w:t xml:space="preserve"> herefter.</w:t>
      </w:r>
    </w:p>
    <w:p>
      <w:pPr>
        <w:spacing w:after="120" w:line="288" w:lineRule="auto"/>
      </w:pPr>
      <w:r>
        <w:rPr>
          <w:rFonts w:ascii="Calibri" w:cs="Calibri" w:eastAsia="Calibri" w:hAnsi="Calibri"/>
          <w:color w:val="1C1917"/>
          <w:sz w:val="22"/>
          <w:szCs w:val="22"/>
        </w:rPr>
        <w:t xml:space="preserve">Ved ophør af tjenesten skal databehandleren enten slette eller tilbagelevere personoplysningerne i overensstemmelse med bestemmelse 11.1, medmindre den dataansvarlige efter underskriften af bestemmelserne har ændret sit oprindelige valg. En sådan ændring skal være dokumenteret skriftligt, herunder elektronisk, og opbevares sammen med bestemmelserne.</w:t>
      </w:r>
    </w:p>
    <w:p>
      <w:pPr>
        <w:spacing w:after="120" w:line="288" w:lineRule="auto"/>
      </w:pPr>
      <w:r>
        <w:rPr>
          <w:rFonts w:ascii="Calibri" w:cs="Calibri" w:eastAsia="Calibri" w:hAnsi="Calibri"/>
          <w:color w:val="1C1917"/>
          <w:sz w:val="22"/>
          <w:szCs w:val="22"/>
        </w:rPr>
        <w:t xml:space="preserve">Tilbagelevering sker i følgende format: </w:t>
      </w:r>
      <w:r>
        <w:rPr>
          <w:rFonts w:ascii="Calibri" w:cs="Calibri" w:eastAsia="Calibri" w:hAnsi="Calibri"/>
          <w:color w:val="1C1917"/>
          <w:sz w:val="22"/>
          <w:szCs w:val="22"/>
          <w:shd w:fill="E8E6E1" w:color="auto" w:val="clear"/>
        </w:rPr>
        <w:t xml:space="preserve">[Fx CSV/JSON-eksport af alle data inkl. bilag]</w:t>
      </w:r>
      <w:r>
        <w:rPr>
          <w:rFonts w:ascii="Calibri" w:cs="Calibri" w:eastAsia="Calibri" w:hAnsi="Calibri"/>
          <w:color w:val="1C1917"/>
          <w:sz w:val="22"/>
          <w:szCs w:val="22"/>
        </w:rPr>
        <w:t xml:space="preserve">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ophør.</w:t>
      </w:r>
    </w:p>
    <w:p>
      <w:pPr>
        <w:keepNext/>
        <w:spacing w:after="80" w:before="220"/>
      </w:pPr>
      <w:r>
        <w:rPr>
          <w:rFonts w:ascii="Calibri" w:cs="Calibri" w:eastAsia="Calibri" w:hAnsi="Calibri"/>
          <w:b/>
          <w:bCs/>
          <w:color w:val="28394A"/>
          <w:sz w:val="22"/>
          <w:szCs w:val="22"/>
        </w:rPr>
        <w:t xml:space="preserve">C.5 Lokalitet for behandling</w:t>
      </w:r>
    </w:p>
    <w:p>
      <w:pPr>
        <w:spacing w:after="120" w:line="288" w:lineRule="auto"/>
      </w:pPr>
      <w:r>
        <w:rPr>
          <w:rFonts w:ascii="Calibri" w:cs="Calibri" w:eastAsia="Calibri" w:hAnsi="Calibri"/>
          <w:color w:val="1C1917"/>
          <w:sz w:val="22"/>
          <w:szCs w:val="22"/>
        </w:rPr>
        <w:t xml:space="preserve">Behandling af de omfattede personoplysninger kan ikke uden den dataansvarliges forudgående skriftlige godkendelse ske på andre lokaliteter end følgende: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23"/>
        <w:gridCol w:w="3023"/>
        <w:gridCol w:w="3023"/>
      </w:tblGrid>
      <w:tr>
        <w:trPr>
          <w:tblHeader/>
        </w:trPr>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Lokalitet (adresse, by, land)</w:t>
            </w:r>
          </w:p>
        </w:tc>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Hvilken databehandler/underdatabehandler bruger lokaliteten</w:t>
            </w:r>
          </w:p>
        </w:tc>
        <w:tc>
          <w:tcPr>
            <w:tcW w:type="dxa" w:w="30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Behandling på stedet</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0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spacing w:after="80" w:before="220"/>
      </w:pPr>
      <w:r>
        <w:rPr>
          <w:rFonts w:ascii="Calibri" w:cs="Calibri" w:eastAsia="Calibri" w:hAnsi="Calibri"/>
          <w:b/>
          <w:bCs/>
          <w:color w:val="28394A"/>
          <w:sz w:val="22"/>
          <w:szCs w:val="22"/>
        </w:rPr>
        <w:t xml:space="preserve">C.6 Instruks vedrørende overførsel af personoplysninger til tredjelande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må ikke ske overførsel af personoplysninger til tredjelande eller internationale organisationer. Oplysningerne behandles og tilgås kun inden for EU/EØS.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Databehandleren instrueres i at overføre personoplysninger som angivet i tabellen nedenfor.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909"/>
        <w:gridCol w:w="1432"/>
        <w:gridCol w:w="2864"/>
        <w:gridCol w:w="2864"/>
      </w:tblGrid>
      <w:tr>
        <w:trPr>
          <w:tblHeader/>
        </w:trPr>
        <w:tc>
          <w:tcPr>
            <w:tcW w:type="dxa" w:w="1909"/>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Modtager</w:t>
            </w:r>
          </w:p>
        </w:tc>
        <w:tc>
          <w:tcPr>
            <w:tcW w:type="dxa" w:w="143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Land</w:t>
            </w:r>
          </w:p>
        </w:tc>
        <w:tc>
          <w:tcPr>
            <w:tcW w:type="dxa" w:w="286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Hvad overføres og hvorfor</w:t>
            </w:r>
          </w:p>
        </w:tc>
        <w:tc>
          <w:tcPr>
            <w:tcW w:type="dxa" w:w="286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Overførselsgrundlag (kapitel V)</w:t>
            </w:r>
          </w:p>
        </w:tc>
      </w:tr>
      <w:tr>
        <w:trPr>
          <w:cantSplit/>
        </w:trPr>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[Land]</w:t>
            </w:r>
          </w:p>
        </w:tc>
        <w:tc>
          <w:tcPr>
            <w:tcW w:type="dxa" w:w="2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support uden for åbningstid med fjernadgang]</w:t>
            </w:r>
          </w:p>
        </w:tc>
        <w:tc>
          <w:tcPr>
            <w:tcW w:type="dxa" w:w="2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tilstrækkelighedsafgørelse (art. 45) / EU-standardkontrakt (art. 46, stk. 2, litra c) / bindende virksomhedsregler (art. 47)]</w:t>
            </w:r>
          </w:p>
        </w:tc>
      </w:tr>
      <w:tr>
        <w:trPr>
          <w:cantSplit/>
        </w:trPr>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86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Giver den dataansvarlige ikke i bestemmelserne eller senere en dokumenteret instruks om overførsel til et tredjeland, er databehandleren ikke berettiget til inden for rammerne af bestemmelserne at foretage sådanne overførsler.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Fjernadgang fra et tredjeland (fx support fra Indien eller USA) er også en overførsel.</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Accepter ikke åbne vilkår som "i særlige tilfælde" eller "medmindre det kræves efter lovgivning eller en bindende afgørelse fra en myndighed". Ifølge Datatilsynets svar af 23.1.2026 (j.nr. 2025-211-3556) er sådanne vilkår ikke en dokumenteret instruks. Enhver påtænkt overførsel kræver et grundlag efter kapitel V, uanset hvor sjælden eller betinget den er.</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Angiv konkret modtager, land, formål og grundlag. Ved overførsel på grundlag af standardkontrakter bør der også foreligge en vurdering af lovgivningen i modtagerlandet.</w:t>
      </w:r>
    </w:p>
    <w:p>
      <w:pPr>
        <w:keepNext/>
        <w:spacing w:after="80" w:before="220"/>
      </w:pPr>
      <w:r>
        <w:rPr>
          <w:rFonts w:ascii="Calibri" w:cs="Calibri" w:eastAsia="Calibri" w:hAnsi="Calibri"/>
          <w:b/>
          <w:bCs/>
          <w:color w:val="28394A"/>
          <w:sz w:val="22"/>
          <w:szCs w:val="22"/>
        </w:rPr>
        <w:t xml:space="preserve">C.7 Procedurer for den dataansvarliges revisioner, herunder inspektioner, med behandlingen hos databehandleren</w:t>
      </w:r>
    </w:p>
    <w:p>
      <w:pPr>
        <w:spacing w:after="120" w:line="288" w:lineRule="auto"/>
      </w:pPr>
      <w:r>
        <w:rPr>
          <w:rFonts w:ascii="Calibri" w:cs="Calibri" w:eastAsia="Calibri" w:hAnsi="Calibri"/>
          <w:color w:val="1C1917"/>
          <w:sz w:val="22"/>
          <w:szCs w:val="22"/>
        </w:rPr>
        <w:t xml:space="preserve">Den dataansvarliges tilsyn med databehandleren sker på følgende måde: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Databehandleren indhenter </w:t>
      </w:r>
      <w:r>
        <w:rPr>
          <w:rFonts w:ascii="Calibri" w:cs="Calibri" w:eastAsia="Calibri" w:hAnsi="Calibri"/>
          <w:color w:val="1C1917"/>
          <w:sz w:val="22"/>
          <w:szCs w:val="22"/>
          <w:shd w:fill="E8E6E1" w:color="auto" w:val="clear"/>
        </w:rPr>
        <w:t xml:space="preserve">[hvert år / hvert andet år]</w:t>
      </w:r>
      <w:r>
        <w:rPr>
          <w:rFonts w:ascii="Calibri" w:cs="Calibri" w:eastAsia="Calibri" w:hAnsi="Calibri"/>
          <w:color w:val="1C1917"/>
          <w:sz w:val="22"/>
          <w:szCs w:val="22"/>
        </w:rPr>
        <w:t xml:space="preserve"> for </w:t>
      </w:r>
      <w:r>
        <w:rPr>
          <w:rFonts w:ascii="Calibri" w:cs="Calibri" w:eastAsia="Calibri" w:hAnsi="Calibri"/>
          <w:color w:val="1C1917"/>
          <w:sz w:val="22"/>
          <w:szCs w:val="22"/>
          <w:shd w:fill="E8E6E1" w:color="auto" w:val="clear"/>
        </w:rPr>
        <w:t xml:space="preserve">[egen / den dataansvarliges]</w:t>
      </w:r>
      <w:r>
        <w:rPr>
          <w:rFonts w:ascii="Calibri" w:cs="Calibri" w:eastAsia="Calibri" w:hAnsi="Calibri"/>
          <w:color w:val="1C1917"/>
          <w:sz w:val="22"/>
          <w:szCs w:val="22"/>
        </w:rPr>
        <w:t xml:space="preserve"> regning en uafhængig revisionserklæring af typen </w:t>
      </w:r>
      <w:r>
        <w:rPr>
          <w:rFonts w:ascii="Calibri" w:cs="Calibri" w:eastAsia="Calibri" w:hAnsi="Calibri"/>
          <w:color w:val="1C1917"/>
          <w:sz w:val="22"/>
          <w:szCs w:val="22"/>
          <w:shd w:fill="E8E6E1" w:color="auto" w:val="clear"/>
        </w:rPr>
        <w:t xml:space="preserve">[ISAE 3000 / ISAE 3402, type 1 / type 2]</w:t>
      </w:r>
      <w:r>
        <w:rPr>
          <w:rFonts w:ascii="Calibri" w:cs="Calibri" w:eastAsia="Calibri" w:hAnsi="Calibri"/>
          <w:color w:val="1C1917"/>
          <w:sz w:val="22"/>
          <w:szCs w:val="22"/>
        </w:rPr>
        <w:t xml:space="preserve"> eller tilsvarende vedrørende overholdelsen af databeskyttelsesforordningen og bestemmelserne. Erklæringen sendes uden unødig forsinkelse til den dataansvarlige.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Databehandleren besvarer </w:t>
      </w:r>
      <w:r>
        <w:rPr>
          <w:rFonts w:ascii="Calibri" w:cs="Calibri" w:eastAsia="Calibri" w:hAnsi="Calibri"/>
          <w:color w:val="1C1917"/>
          <w:sz w:val="22"/>
          <w:szCs w:val="22"/>
          <w:shd w:fill="E8E6E1" w:color="auto" w:val="clear"/>
        </w:rPr>
        <w:t xml:space="preserve">[hvert år]</w:t>
      </w:r>
      <w:r>
        <w:rPr>
          <w:rFonts w:ascii="Calibri" w:cs="Calibri" w:eastAsia="Calibri" w:hAnsi="Calibri"/>
          <w:color w:val="1C1917"/>
          <w:sz w:val="22"/>
          <w:szCs w:val="22"/>
        </w:rPr>
        <w:t xml:space="preserve"> et skriftligt tilsynsspørgeskema fra den dataansvarlige og fremsender relevant dokumentation (fx sikkerhedspolitik, seneste penetrationstest, certificeringer).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Den dataansvarlige eller en repræsentant herfor foretager </w:t>
      </w:r>
      <w:r>
        <w:rPr>
          <w:rFonts w:ascii="Calibri" w:cs="Calibri" w:eastAsia="Calibri" w:hAnsi="Calibri"/>
          <w:color w:val="1C1917"/>
          <w:sz w:val="22"/>
          <w:szCs w:val="22"/>
          <w:shd w:fill="E8E6E1" w:color="auto" w:val="clear"/>
        </w:rPr>
        <w:t xml:space="preserve">[hvert år / efter behov]</w:t>
      </w:r>
      <w:r>
        <w:rPr>
          <w:rFonts w:ascii="Calibri" w:cs="Calibri" w:eastAsia="Calibri" w:hAnsi="Calibri"/>
          <w:color w:val="1C1917"/>
          <w:sz w:val="22"/>
          <w:szCs w:val="22"/>
        </w:rPr>
        <w:t xml:space="preserve"> en fysisk inspektion af de lokaliteter, hvor behandlingen sker.</w:t>
      </w:r>
    </w:p>
    <w:p>
      <w:pPr>
        <w:spacing w:after="120" w:line="288" w:lineRule="auto"/>
      </w:pPr>
      <w:r>
        <w:rPr>
          <w:rFonts w:ascii="Calibri" w:cs="Calibri" w:eastAsia="Calibri" w:hAnsi="Calibri"/>
          <w:color w:val="1C1917"/>
          <w:sz w:val="22"/>
          <w:szCs w:val="22"/>
        </w:rPr>
        <w:t xml:space="preserve">Den dataansvarlige kan anfægte rammerne for eller metoden i erklæringen/inspektionen og kan i så fald anmode om en ny erklæring/inspektion under andre rammer eller med en anden metode. På baggrund af resultatet kan den dataansvarlige anmode om yderligere foranstaltninger, der er nødvendige for at sikre overholdelsen. Den dataansvarlige kan herudover foretage inspektion, når den dataansvarlige finder det nødvendigt.</w:t>
      </w:r>
    </w:p>
    <w:p>
      <w:pPr>
        <w:spacing w:after="120" w:line="288" w:lineRule="auto"/>
      </w:pPr>
      <w:r>
        <w:rPr>
          <w:rFonts w:ascii="Calibri" w:cs="Calibri" w:eastAsia="Calibri" w:hAnsi="Calibri"/>
          <w:color w:val="1C1917"/>
          <w:sz w:val="22"/>
          <w:szCs w:val="22"/>
        </w:rPr>
        <w:t xml:space="preserve">Udgifter: </w:t>
      </w:r>
      <w:r>
        <w:rPr>
          <w:rFonts w:ascii="Calibri" w:cs="Calibri" w:eastAsia="Calibri" w:hAnsi="Calibri"/>
          <w:color w:val="1C1917"/>
          <w:sz w:val="22"/>
          <w:szCs w:val="22"/>
          <w:shd w:fill="E8E6E1" w:color="auto" w:val="clear"/>
        </w:rPr>
        <w:t xml:space="preserve">[Den dataansvarlige afholder egne udgifter ved fysisk inspektion. Databehandleren afsætter de ressourcer (primært tid), der er nødvendige for inspektionen.]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Vælg tilsynsform efter risikoen. Ved høj risiko (C.2) eller mange registrerede er en uafhængig revisionserklæring (ISAE 3000) det almindelige. Ved lav risiko kan et årligt spørgeskema være tilstrækkeligt. Dokumentér, at tilsynet faktisk gennemføres - manglende tilsyn med databehandlere går igen i Datatilsynets afgørelser.</w:t>
      </w:r>
    </w:p>
    <w:p>
      <w:pPr>
        <w:keepNext/>
        <w:spacing w:after="80" w:before="220"/>
      </w:pPr>
      <w:r>
        <w:rPr>
          <w:rFonts w:ascii="Calibri" w:cs="Calibri" w:eastAsia="Calibri" w:hAnsi="Calibri"/>
          <w:b/>
          <w:bCs/>
          <w:color w:val="28394A"/>
          <w:sz w:val="22"/>
          <w:szCs w:val="22"/>
        </w:rPr>
        <w:t xml:space="preserve">C.8 Procedurer for revisioner, herunder inspektioner, med behandlingen hos underdatabehandlere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Databehandleren fører tilsyn med underdatabehandlerne ved at indhente </w:t>
      </w:r>
      <w:r>
        <w:rPr>
          <w:rFonts w:ascii="Calibri" w:cs="Calibri" w:eastAsia="Calibri" w:hAnsi="Calibri"/>
          <w:color w:val="1C1917"/>
          <w:sz w:val="22"/>
          <w:szCs w:val="22"/>
          <w:shd w:fill="E8E6E1" w:color="auto" w:val="clear"/>
        </w:rPr>
        <w:t xml:space="preserve">[revisionserklæring / tilsynsspørgeskema / fysisk inspektion]</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[hvert år]</w:t>
      </w:r>
      <w:r>
        <w:rPr>
          <w:rFonts w:ascii="Calibri" w:cs="Calibri" w:eastAsia="Calibri" w:hAnsi="Calibri"/>
          <w:color w:val="1C1917"/>
          <w:sz w:val="22"/>
          <w:szCs w:val="22"/>
        </w:rPr>
        <w:t xml:space="preserve">. Dokumentation for tilsynet sendes uden unødig forsinkelse til den dataansvarlige til orientering.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Den dataansvarlige kan, hvis det findes nødvendigt, selv initiere og deltage i en fysisk inspektion hos en underdatabehandler. Det ændrer ikke ved, at databehandleren fortsat har det fulde ansvar for underdatabehandlerens overholdelse.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Ikke relevant - der anvendes ikke underdatabehandlere.</w:t>
      </w:r>
    </w:p>
    <w:p>
      <w:pPr>
        <w:spacing w:after="120" w:line="288" w:lineRule="auto"/>
      </w:pPr>
      <w:r>
        <w:rPr>
          <w:rFonts w:ascii="Calibri" w:cs="Calibri" w:eastAsia="Calibri" w:hAnsi="Calibri"/>
          <w:color w:val="1C1917"/>
          <w:sz w:val="22"/>
          <w:szCs w:val="22"/>
        </w:rPr>
        <w:t xml:space="preserve">Den dataansvarlige kan anfægte rammerne for eller metoden i tilsynet og anmode om et nyt tilsyn under andre rammer eller med en anden metode, samt anmode om yderligere foranstaltninger på baggrund af resultatet.</w:t>
      </w:r>
    </w:p>
    <w:p>
      <w:pPr>
        <w:pageBreakBefore/>
      </w:pPr>
    </w:p>
    <w:p>
      <w:pPr>
        <w:keepNext/>
        <w:spacing w:after="80" w:before="220"/>
      </w:pPr>
      <w:r>
        <w:rPr>
          <w:rFonts w:ascii="Calibri" w:cs="Calibri" w:eastAsia="Calibri" w:hAnsi="Calibri"/>
          <w:b/>
          <w:bCs/>
          <w:color w:val="28394A"/>
          <w:sz w:val="22"/>
          <w:szCs w:val="22"/>
        </w:rPr>
        <w:t xml:space="preserve">Bilag D - Parternes regulering af andre forhold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Bilag D er til kommercielle og praktiske vilkår. Intet her må direkte eller indirekte stride mod bestemmelserne eller forringe de registreredes rettigheder. Står vilkårene allerede i hovedaftalen, så henvis til den. Slet de punkter, der ikke bruges.</w:t>
      </w:r>
    </w:p>
    <w:p>
      <w:pPr>
        <w:keepNext/>
        <w:spacing w:after="80" w:before="220"/>
      </w:pPr>
      <w:r>
        <w:rPr>
          <w:rFonts w:ascii="Calibri" w:cs="Calibri" w:eastAsia="Calibri" w:hAnsi="Calibri"/>
          <w:b/>
          <w:bCs/>
          <w:color w:val="28394A"/>
          <w:sz w:val="22"/>
          <w:szCs w:val="22"/>
        </w:rPr>
        <w:t xml:space="preserve">D.1 Vederlag for bistand og tilsyn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Bistand efter bilag C.3 og tilsyn efter C.7-C.8 er indeholdt i vederlaget efter hovedaftalen.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Bistand efter bilag C.3 afregnes efter medgået tid til </w:t>
      </w:r>
      <w:r>
        <w:rPr>
          <w:rFonts w:ascii="Calibri" w:cs="Calibri" w:eastAsia="Calibri" w:hAnsi="Calibri"/>
          <w:color w:val="1C1917"/>
          <w:sz w:val="22"/>
          <w:szCs w:val="22"/>
          <w:shd w:fill="E8E6E1" w:color="auto" w:val="clear"/>
        </w:rPr>
        <w:t xml:space="preserve">[Timepris / hovedaftalens timepriser]</w:t>
      </w:r>
      <w:r>
        <w:rPr>
          <w:rFonts w:ascii="Calibri" w:cs="Calibri" w:eastAsia="Calibri" w:hAnsi="Calibri"/>
          <w:color w:val="1C1917"/>
          <w:sz w:val="22"/>
          <w:szCs w:val="22"/>
        </w:rPr>
        <w:t xml:space="preserve">. Bistand, der skyldes databehandlerens egne forhold (fx et brud hos databehandleren), afregnes ikke.</w:t>
      </w:r>
    </w:p>
    <w:p>
      <w:pPr>
        <w:keepNext/>
        <w:spacing w:after="80" w:before="220"/>
      </w:pPr>
      <w:r>
        <w:rPr>
          <w:rFonts w:ascii="Calibri" w:cs="Calibri" w:eastAsia="Calibri" w:hAnsi="Calibri"/>
          <w:b/>
          <w:bCs/>
          <w:color w:val="28394A"/>
          <w:sz w:val="22"/>
          <w:szCs w:val="22"/>
        </w:rPr>
        <w:t xml:space="preserve">D.2 Ansvar</w:t>
      </w:r>
    </w:p>
    <w:p>
      <w:pPr>
        <w:spacing w:after="120" w:line="288" w:lineRule="auto"/>
      </w:pPr>
      <w:r>
        <w:rPr>
          <w:rFonts w:ascii="Calibri" w:cs="Calibri" w:eastAsia="Calibri" w:hAnsi="Calibri"/>
          <w:color w:val="1C1917"/>
          <w:sz w:val="22"/>
          <w:szCs w:val="22"/>
        </w:rPr>
        <w:t xml:space="preserve">Parternes ansvar følger </w:t>
      </w:r>
      <w:r>
        <w:rPr>
          <w:rFonts w:ascii="Calibri" w:cs="Calibri" w:eastAsia="Calibri" w:hAnsi="Calibri"/>
          <w:color w:val="1C1917"/>
          <w:sz w:val="22"/>
          <w:szCs w:val="22"/>
          <w:shd w:fill="E8E6E1" w:color="auto" w:val="clear"/>
        </w:rPr>
        <w:t xml:space="preserve">[hovedaftalens ansvarsbestemmelser / dansk rets almindelige regler]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[Eventuel særlig regulering, fx om en ansvarsbegrænsning i hovedaftalen også gælder krav, der skyldes databehandlerens overtrædelse af bestemmelserne.]</w:t>
      </w:r>
    </w:p>
    <w:p>
      <w:pPr>
        <w:keepNext/>
        <w:spacing w:after="80" w:before="220"/>
      </w:pPr>
      <w:r>
        <w:rPr>
          <w:rFonts w:ascii="Calibri" w:cs="Calibri" w:eastAsia="Calibri" w:hAnsi="Calibri"/>
          <w:b/>
          <w:bCs/>
          <w:color w:val="28394A"/>
          <w:sz w:val="22"/>
          <w:szCs w:val="22"/>
        </w:rPr>
        <w:t xml:space="preserve">D.3 Ulovlig instruks</w:t>
      </w:r>
    </w:p>
    <w:p>
      <w:pPr>
        <w:spacing w:after="120" w:line="288" w:lineRule="auto"/>
      </w:pPr>
      <w:r>
        <w:rPr>
          <w:rFonts w:ascii="Calibri" w:cs="Calibri" w:eastAsia="Calibri" w:hAnsi="Calibri"/>
          <w:color w:val="1C1917"/>
          <w:sz w:val="22"/>
          <w:szCs w:val="22"/>
        </w:rPr>
        <w:t xml:space="preserve">Finder databehandleren, at en instruks strider mod databeskyttelsesreglerne, underretter databehandleren straks den dataansvarlige. Databehandleren kan </w:t>
      </w:r>
      <w:r>
        <w:rPr>
          <w:rFonts w:ascii="Calibri" w:cs="Calibri" w:eastAsia="Calibri" w:hAnsi="Calibri"/>
          <w:color w:val="1C1917"/>
          <w:sz w:val="22"/>
          <w:szCs w:val="22"/>
          <w:shd w:fill="E8E6E1" w:color="auto" w:val="clear"/>
        </w:rPr>
        <w:t xml:space="preserve">[sætte den pågældende behandling i bero, indtil instruksen er bekræftet eller ændret / fortsætte behandlingen efter den hidtidige instruks]</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D.4 Exit og overgang</w:t>
      </w:r>
    </w:p>
    <w:p>
      <w:pPr>
        <w:spacing w:after="120" w:line="288" w:lineRule="auto"/>
      </w:pPr>
      <w:r>
        <w:rPr>
          <w:rFonts w:ascii="Calibri" w:cs="Calibri" w:eastAsia="Calibri" w:hAnsi="Calibri"/>
          <w:color w:val="1C1917"/>
          <w:sz w:val="22"/>
          <w:szCs w:val="22"/>
        </w:rPr>
        <w:t xml:space="preserve">Ved ophør bistår databehandleren med at overføre oplysningerne til den dataansvarlige eller en ny leverandør i følgende format: </w:t>
      </w:r>
      <w:r>
        <w:rPr>
          <w:rFonts w:ascii="Calibri" w:cs="Calibri" w:eastAsia="Calibri" w:hAnsi="Calibri"/>
          <w:color w:val="1C1917"/>
          <w:sz w:val="22"/>
          <w:szCs w:val="22"/>
          <w:shd w:fill="E8E6E1" w:color="auto" w:val="clear"/>
        </w:rPr>
        <w:t xml:space="preserve">[Format]</w:t>
      </w:r>
      <w:r>
        <w:rPr>
          <w:rFonts w:ascii="Calibri" w:cs="Calibri" w:eastAsia="Calibri" w:hAnsi="Calibri"/>
          <w:color w:val="1C1917"/>
          <w:sz w:val="22"/>
          <w:szCs w:val="22"/>
        </w:rPr>
        <w:t xml:space="preserve">. Bistanden afregnes </w:t>
      </w:r>
      <w:r>
        <w:rPr>
          <w:rFonts w:ascii="Calibri" w:cs="Calibri" w:eastAsia="Calibri" w:hAnsi="Calibri"/>
          <w:color w:val="1C1917"/>
          <w:sz w:val="22"/>
          <w:szCs w:val="22"/>
          <w:shd w:fill="E8E6E1" w:color="auto" w:val="clear"/>
        </w:rPr>
        <w:t xml:space="preserve">[efter medgået tid / er indeholdt i vederlaget]</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D.5 Forrang og øvrige forhold</w:t>
      </w:r>
    </w:p>
    <w:p>
      <w:pPr>
        <w:spacing w:after="120" w:line="288" w:lineRule="auto"/>
      </w:pPr>
      <w:r>
        <w:rPr>
          <w:rFonts w:ascii="Calibri" w:cs="Calibri" w:eastAsia="Calibri" w:hAnsi="Calibri"/>
          <w:color w:val="1C1917"/>
          <w:sz w:val="22"/>
          <w:szCs w:val="22"/>
        </w:rPr>
        <w:t xml:space="preserve">Ved uoverensstemmelse mellem hovedaftalen og bestemmelserne har bestemmelserne forrang for så vidt angår behandling af personoplysninger. </w:t>
      </w:r>
      <w:r>
        <w:rPr>
          <w:rFonts w:ascii="Calibri" w:cs="Calibri" w:eastAsia="Calibri" w:hAnsi="Calibri"/>
          <w:color w:val="1C1917"/>
          <w:sz w:val="22"/>
          <w:szCs w:val="22"/>
          <w:shd w:fill="E8E6E1" w:color="auto" w:val="clear"/>
        </w:rPr>
        <w:t xml:space="preserve">[Øvrige forhold, fx lovvalg og værneting som i hovedaftalen.]</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wve3jsvuc3xrc4ghqwdtl">
      <w:r>
        <w:rPr>
          <w:rFonts w:ascii="Calibri" w:cs="Calibri" w:eastAsia="Calibri" w:hAnsi="Calibri"/>
          <w:color w:val="1E4FA3"/>
          <w:sz w:val="15"/>
          <w:szCs w:val="15"/>
          <w:u w:val="single"/>
        </w:rPr>
        <w:t xml:space="preserve">lovguiden.dk/praksisoversigt/gdpr-og-compliance/databehandleraftale</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q5rwd271uuffjrzl9r0fa">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c4griys5xrn1wfl4xnttl">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qviksie6mweqzenux7nal" Type="http://schemas.openxmlformats.org/officeDocument/2006/relationships/hyperlink" Target="https://www.lovguiden.dk" TargetMode="External"/><Relationship Id="rId_n2q-a9b7ag8imdkdrmlo" Type="http://schemas.openxmlformats.org/officeDocument/2006/relationships/hyperlink" Target="https://www.lovguiden.dk/praksisoversigt/gdpr-og-compliance/databehandleraftale" TargetMode="External"/><Relationship Id="rId5zvs-bbjxdn2bti7jlxci" Type="http://schemas.openxmlformats.org/officeDocument/2006/relationships/hyperlink" Target="https://www.lovguiden.dk/praksisoversigt/gdpr-og-compliance/databehandleraftale"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wve3jsvuc3xrc4ghqwdtl" Type="http://schemas.openxmlformats.org/officeDocument/2006/relationships/hyperlink" Target="https://www.lovguiden.dk/praksisoversigt/gdpr-og-compliance/databehandleraftale"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q5rwd271uuffjrzl9r0fa"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c4griys5xrn1wfl4xnttl"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Databehandleraftale - udfyldningsbilag (A-D) til Datatilsynets standardkontraktsbestemmelser</dc:title>
  <dc:creator>Lovguiden</dc:creator>
  <cp:lastModifiedBy>Un-named</cp:lastModifiedBy>
  <cp:revision>1</cp:revision>
  <dcterms:created xsi:type="dcterms:W3CDTF">2026-10-27T14:06:16.468Z</dcterms:created>
  <dcterms:modified xsi:type="dcterms:W3CDTF">2026-10-27T14:06:16.468Z</dcterms:modified>
</cp:coreProperties>
</file>

<file path=docProps/custom.xml><?xml version="1.0" encoding="utf-8"?>
<Properties xmlns="http://schemas.openxmlformats.org/officeDocument/2006/custom-properties" xmlns:vt="http://schemas.openxmlformats.org/officeDocument/2006/docPropsVTypes"/>
</file>