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ERHVERVSKONTRAKTER</w:t>
      </w:r>
    </w:p>
    <w:p>
      <w:pPr>
        <w:spacing w:after="120" w:before="60" w:line="300" w:lineRule="auto"/>
      </w:pPr>
      <w:r>
        <w:rPr>
          <w:rFonts w:ascii="Calibri" w:cs="Calibri" w:eastAsia="Calibri" w:hAnsi="Calibri"/>
          <w:b/>
          <w:bCs/>
          <w:color w:val="28394A"/>
          <w:sz w:val="64"/>
          <w:szCs w:val="64"/>
        </w:rPr>
        <w:t xml:space="preserve">Ejeraftale</w:t>
      </w:r>
    </w:p>
    <w:p>
      <w:pPr>
        <w:spacing w:after="200" w:line="288" w:lineRule="auto"/>
      </w:pPr>
      <w:r>
        <w:rPr>
          <w:rFonts w:ascii="Calibri" w:cs="Calibri" w:eastAsia="Calibri" w:hAnsi="Calibri"/>
          <w:color w:val="5F6B76"/>
          <w:sz w:val="26"/>
          <w:szCs w:val="26"/>
        </w:rPr>
        <w:t xml:space="preserve">vedrørende </w:t>
      </w:r>
      <w:r>
        <w:rPr>
          <w:rFonts w:ascii="Calibri" w:cs="Calibri" w:eastAsia="Calibri" w:hAnsi="Calibri"/>
          <w:color w:val="1C1917"/>
          <w:sz w:val="26"/>
          <w:szCs w:val="26"/>
          <w:shd w:fill="E8E6E1" w:color="auto" w:val="clear"/>
        </w:rPr>
        <w:t xml:space="preserve">[Selskabets navn]</w:t>
      </w:r>
      <w:r>
        <w:rPr>
          <w:rFonts w:ascii="Calibri" w:cs="Calibri" w:eastAsia="Calibri" w:hAnsi="Calibri"/>
          <w:color w:val="5F6B76"/>
          <w:sz w:val="26"/>
          <w:szCs w:val="26"/>
        </w:rPr>
        <w:t xml:space="preserve">, CVR-nr. </w:t>
      </w:r>
      <w:r>
        <w:rPr>
          <w:rFonts w:ascii="Calibri" w:cs="Calibri" w:eastAsia="Calibri" w:hAnsi="Calibri"/>
          <w:color w:val="1C1917"/>
          <w:sz w:val="26"/>
          <w:szCs w:val="26"/>
          <w:shd w:fill="E8E6E1" w:color="auto" w:val="clear"/>
        </w:rPr>
        <w:t xml:space="preserve">[CVR-nr.]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En ejeraftale regulerer forholdet mellem ejerne af et anpartsselskab eller aktieselskab: hvem der bestemmer hvad, hvordan ejerne kommer ud igen, og hvad der sker ved uenighed, død eller skilsmisse. Aftalen er privat og skal ikke registreres eller offentliggøres.</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9iisdg8ae4gbcxs0spyn0">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gd72lqil4p-whpeeui4fq">
              <w:r>
                <w:rPr>
                  <w:rFonts w:ascii="Calibri" w:cs="Calibri" w:eastAsia="Calibri" w:hAnsi="Calibri"/>
                  <w:color w:val="1E4FA3"/>
                  <w:sz w:val="20"/>
                  <w:szCs w:val="20"/>
                  <w:u w:val="single"/>
                </w:rPr>
                <w:t xml:space="preserve">lovguiden.dk/praksisoversigt/erhverv-og-kontrakter/ejeraftale</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ejeraftale binder </w:t>
      </w:r>
      <w:r>
        <w:rPr>
          <w:rFonts w:ascii="Calibri" w:cs="Calibri" w:eastAsia="Calibri" w:hAnsi="Calibri"/>
          <w:b/>
          <w:bCs/>
          <w:color w:val="3F3A33"/>
          <w:sz w:val="19"/>
          <w:szCs w:val="19"/>
        </w:rPr>
        <w:t xml:space="preserve">kun parterne</w:t>
      </w:r>
      <w:r>
        <w:rPr>
          <w:rFonts w:ascii="Calibri" w:cs="Calibri" w:eastAsia="Calibri" w:hAnsi="Calibri"/>
          <w:color w:val="3F3A33"/>
          <w:sz w:val="19"/>
          <w:szCs w:val="19"/>
        </w:rPr>
        <w:t xml:space="preserve"> - ikke selskabet, generalforsamlingen eller en køber (selskabsloven § 82). Vigtige bestemmelser om forkøbsret, samtykke til salg og indløsning skal derfor </w:t>
      </w:r>
      <w:r>
        <w:rPr>
          <w:rFonts w:ascii="Calibri" w:cs="Calibri" w:eastAsia="Calibri" w:hAnsi="Calibri"/>
          <w:b/>
          <w:bCs/>
          <w:color w:val="3F3A33"/>
          <w:sz w:val="19"/>
          <w:szCs w:val="19"/>
        </w:rPr>
        <w:t xml:space="preserve">også stå i vedtægterne</w:t>
      </w:r>
      <w:r>
        <w:rPr>
          <w:rFonts w:ascii="Calibri" w:cs="Calibri" w:eastAsia="Calibri" w:hAnsi="Calibri"/>
          <w:color w:val="3F3A33"/>
          <w:sz w:val="19"/>
          <w:szCs w:val="19"/>
        </w:rPr>
        <w:t xml:space="preserve">, hvis de skal kunne stoppe en overdragelse. Afsnit 3 samler de punkter, der skal skrives ind i vedtægterne.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Aftalen skal have en </w:t>
      </w:r>
      <w:r>
        <w:rPr>
          <w:rFonts w:ascii="Calibri" w:cs="Calibri" w:eastAsia="Calibri" w:hAnsi="Calibri"/>
          <w:b/>
          <w:bCs/>
          <w:color w:val="3F3A33"/>
          <w:sz w:val="19"/>
          <w:szCs w:val="19"/>
        </w:rPr>
        <w:t xml:space="preserve">sanktion</w:t>
      </w:r>
      <w:r>
        <w:rPr>
          <w:rFonts w:ascii="Calibri" w:cs="Calibri" w:eastAsia="Calibri" w:hAnsi="Calibri"/>
          <w:color w:val="3F3A33"/>
          <w:sz w:val="19"/>
          <w:szCs w:val="19"/>
        </w:rPr>
        <w:t xml:space="preserve">. En stemme, der er afgivet i strid med ejeraftalen, er gyldig over for selskabet. Uden bod eller køberet ved misligholdelse er aftalen derfor svær at håndhæve.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Ejes 50/50, skal aftalen have en mekanisme til at løse dødvande (afsnit 15). Ellers kan selskabet blive lammet.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Ejer en ejer gennem et holdingselskab, bør personen bag også skrive under. Ejeraftalen kan ikke fravige tvangsarv eller ægtefællers rettigheder uden ægtepagt og testamente - derfor pålægger afsnit 14 ejerne at oprette dem.</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forkøbsret kun i ejeraftalen og ikke i vedtægterne; 50/50 uden exit; ingen sanktion; holdingselskab, ægtefælle eller arvinger har ikke tiltrådt; registrering af reelle ejere glemmes, når aftalen giver kontrol.</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Selskabsloven § 82 (ejeraftaler binder ikke selskabet), §§ 48 og 67-69 (omsættelighed, forkøbsret, samtykke og indløsning i vedtægterne), §§ 107 og 110 (vedtægtsændringer og indløsningsret), § 120 (valg af bestyrelse), § 180 (udbytte), § 58 a (reelle ejere).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ansættelsesklausuler §§ 3 og 5-8 (jobklausuler og konkurrence- og kundeklausuler for ejere, der også er ansat).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Konkurrenceloven § 6 og aftaleloven § 36.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Ægtefælleloven (særeje ved ægtepagt) og arveloven §§ 5, 6 og 50 (tvangsarv, overtagelse af aktiver og testamentarisk bestemmelse over tvangsarv).</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Voldgiftsloven.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Erhvervsstyrelsen, "Vejledning om ejeraftaler (aktionæroverenskomster)".</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0m7kykbxp0c0j8xaesk81">
        <w:r>
          <w:rPr>
            <w:rFonts w:ascii="Calibri" w:cs="Calibri" w:eastAsia="Calibri" w:hAnsi="Calibri"/>
            <w:color w:val="1E4FA3"/>
            <w:sz w:val="20"/>
            <w:szCs w:val="20"/>
            <w:u w:val="single"/>
          </w:rPr>
          <w:t xml:space="preserve">lovguiden.dk/praksisoversigt/erhverv-og-kontrakter/ejeraftale</w:t>
        </w:r>
      </w:hyperlink>
    </w:p>
    <w:p>
      <w:pPr>
        <w:spacing w:after="80"/>
      </w:pPr>
      <w:r>
        <w:rPr>
          <w:rFonts w:ascii="Calibri" w:cs="Calibri" w:eastAsia="Calibri" w:hAnsi="Calibri"/>
          <w:b/>
          <w:bCs/>
          <w:color w:val="28394A"/>
          <w:sz w:val="44"/>
          <w:szCs w:val="44"/>
        </w:rPr>
        <w:t xml:space="preserve">Ejeraftale</w:t>
      </w:r>
    </w:p>
    <w:p>
      <w:pPr>
        <w:spacing w:after="120" w:line="288" w:lineRule="auto"/>
      </w:pPr>
      <w:r>
        <w:rPr>
          <w:rFonts w:ascii="Calibri" w:cs="Calibri" w:eastAsia="Calibri" w:hAnsi="Calibri"/>
          <w:color w:val="5F6B76"/>
          <w:sz w:val="22"/>
          <w:szCs w:val="22"/>
        </w:rPr>
        <w:t xml:space="preserve">vedrørende </w:t>
      </w:r>
      <w:r>
        <w:rPr>
          <w:rFonts w:ascii="Calibri" w:cs="Calibri" w:eastAsia="Calibri" w:hAnsi="Calibri"/>
          <w:color w:val="1C1917"/>
          <w:sz w:val="22"/>
          <w:szCs w:val="22"/>
          <w:shd w:fill="E8E6E1" w:color="auto" w:val="clear"/>
        </w:rPr>
        <w:t xml:space="preserve">[Selskabets navn]</w:t>
      </w:r>
      <w:r>
        <w:rPr>
          <w:rFonts w:ascii="Calibri" w:cs="Calibri" w:eastAsia="Calibri" w:hAnsi="Calibri"/>
          <w:color w:val="5F6B76"/>
          <w:sz w:val="22"/>
          <w:szCs w:val="22"/>
        </w:rPr>
        <w:t xml:space="preserve">, CVR-nr. </w:t>
      </w:r>
      <w:r>
        <w:rPr>
          <w:rFonts w:ascii="Calibri" w:cs="Calibri" w:eastAsia="Calibri" w:hAnsi="Calibri"/>
          <w:color w:val="1C1917"/>
          <w:sz w:val="22"/>
          <w:szCs w:val="22"/>
          <w:shd w:fill="E8E6E1" w:color="auto" w:val="clear"/>
        </w:rPr>
        <w:t xml:space="preserve">[CVR-nr.]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177"/>
        <w:gridCol w:w="1451"/>
        <w:gridCol w:w="2358"/>
        <w:gridCol w:w="1814"/>
        <w:gridCol w:w="1270"/>
      </w:tblGrid>
      <w:tr>
        <w:trPr>
          <w:tblHeader/>
        </w:trPr>
        <w:tc>
          <w:tcPr>
            <w:tcW w:type="dxa" w:w="217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Ejer (navn/selskab)</w:t>
            </w:r>
          </w:p>
        </w:tc>
        <w:tc>
          <w:tcPr>
            <w:tcW w:type="dxa" w:w="145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CPR-/CVR-nr.</w:t>
            </w:r>
          </w:p>
        </w:tc>
        <w:tc>
          <w:tcPr>
            <w:tcW w:type="dxa" w:w="235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Adresse</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Kapitalandele (antal/klasse)</w:t>
            </w:r>
          </w:p>
        </w:tc>
        <w:tc>
          <w:tcPr>
            <w:tcW w:type="dxa" w:w="127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Ejerandel</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35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7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35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7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35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7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Parterne kaldes i det følgende samlet "Ejerne" og hver for sig "en Ejer". </w:t>
      </w:r>
      <w:r>
        <w:rPr>
          <w:rFonts w:ascii="Calibri" w:cs="Calibri" w:eastAsia="Calibri" w:hAnsi="Calibri"/>
          <w:color w:val="1C1917"/>
          <w:sz w:val="22"/>
          <w:szCs w:val="22"/>
          <w:shd w:fill="E8E6E1" w:color="auto" w:val="clear"/>
        </w:rPr>
        <w:t xml:space="preserve">[Selskabets navn]</w:t>
      </w:r>
      <w:r>
        <w:rPr>
          <w:rFonts w:ascii="Calibri" w:cs="Calibri" w:eastAsia="Calibri" w:hAnsi="Calibri"/>
          <w:color w:val="1C1917"/>
          <w:sz w:val="22"/>
          <w:szCs w:val="22"/>
        </w:rPr>
        <w:t xml:space="preserve"> kaldes "Selskabet".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Ejer en Ejer gennem et holdingselskab, skrives holdingselskabet som part. Personen bag tiltræder aftalen og hæfter for, at holdingselskabet overholder den - se underskriftsafsnittet.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Baggrund og formål</w:t>
      </w:r>
    </w:p>
    <w:p>
      <w:pPr>
        <w:spacing w:after="120" w:line="288" w:lineRule="auto"/>
      </w:pPr>
      <w:r>
        <w:rPr>
          <w:rFonts w:ascii="Calibri" w:cs="Calibri" w:eastAsia="Calibri" w:hAnsi="Calibri"/>
          <w:color w:val="1C1917"/>
          <w:sz w:val="22"/>
          <w:szCs w:val="22"/>
        </w:rPr>
        <w:t xml:space="preserve">Selskabet driver </w:t>
      </w:r>
      <w:r>
        <w:rPr>
          <w:rFonts w:ascii="Calibri" w:cs="Calibri" w:eastAsia="Calibri" w:hAnsi="Calibri"/>
          <w:color w:val="1C1917"/>
          <w:sz w:val="22"/>
          <w:szCs w:val="22"/>
          <w:shd w:fill="E8E6E1" w:color="auto" w:val="clear"/>
        </w:rPr>
        <w:t xml:space="preserve">[Beskrivelse af forretningsområdet]</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Formålet med aftalen er at fastlægge Ejernes rettigheder og pligter i forhold til hinanden og til Selskabet, herunder ledelse, finansiering, overdragelse af kapitalandele og Ejernes udtræden.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Forholdet til vedtægterne</w:t>
      </w:r>
    </w:p>
    <w:p>
      <w:pPr>
        <w:spacing w:after="120" w:line="288" w:lineRule="auto"/>
      </w:pPr>
      <w:r>
        <w:rPr>
          <w:rFonts w:ascii="Calibri" w:cs="Calibri" w:eastAsia="Calibri" w:hAnsi="Calibri"/>
          <w:color w:val="1C1917"/>
          <w:sz w:val="22"/>
          <w:szCs w:val="22"/>
        </w:rPr>
        <w:t xml:space="preserve">Ejerne skal stemme for de vedtægtsændringer, der er nødvendige for at gennemføre aftalen. Følgende skal fremgå af vedtægterne: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Forkøbsret for de øvrige Ejere (afsnit 10).</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Krav om samtykke til overdragelse (afsnit 10).</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Indløsningsret og pris ved udtræden (afsnit 12 og 13).</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Medsalgsret og medsalgspligt (afsnit 11).</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Ret til at udpege bestyrelsesmedlemmer (afsnit 4).</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[Andet]</w:t>
      </w:r>
    </w:p>
    <w:p>
      <w:pPr>
        <w:spacing w:after="120" w:line="288" w:lineRule="auto"/>
      </w:pPr>
      <w:r>
        <w:rPr>
          <w:rFonts w:ascii="Calibri" w:cs="Calibri" w:eastAsia="Calibri" w:hAnsi="Calibri"/>
          <w:color w:val="1C1917"/>
          <w:sz w:val="22"/>
          <w:szCs w:val="22"/>
        </w:rPr>
        <w:t xml:space="preserve">Er der uoverensstemmelse mellem aftalen og vedtægterne, går aftalen forud i forholdet mellem Ejerne, og Ejerne skal stemme for at bringe vedtægterne i overensstemmelse med aftalen.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vedtægtsændring, der begrænser omsætteligheden, kræver mindst 9/10 af både de afgivne stemmer og den repræsenterede kapital (selskabsloven § 107, stk. 2, nr. 2). Ejere, der stemte imod, kan kræve sig indløst inden 4 uger (§ 110). Skriv derfor bestemmelserne ind, mens alle ejere er enige.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Ledelse</w:t>
      </w:r>
    </w:p>
    <w:p>
      <w:pPr>
        <w:spacing w:after="120" w:line="288" w:lineRule="auto"/>
      </w:pPr>
      <w:r>
        <w:rPr>
          <w:rFonts w:ascii="Calibri" w:cs="Calibri" w:eastAsia="Calibri" w:hAnsi="Calibri"/>
          <w:color w:val="1C1917"/>
          <w:sz w:val="22"/>
          <w:szCs w:val="22"/>
        </w:rPr>
        <w:t xml:space="preserve">Bestyrelsen består af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medlemmer. </w:t>
      </w:r>
      <w:r>
        <w:rPr>
          <w:rFonts w:ascii="Calibri" w:cs="Calibri" w:eastAsia="Calibri" w:hAnsi="Calibri"/>
          <w:color w:val="1C1917"/>
          <w:sz w:val="22"/>
          <w:szCs w:val="22"/>
          <w:shd w:fill="E8E6E1" w:color="auto" w:val="clear"/>
        </w:rPr>
        <w:t xml:space="preserve">[Ejer]</w:t>
      </w:r>
      <w:r>
        <w:rPr>
          <w:rFonts w:ascii="Calibri" w:cs="Calibri" w:eastAsia="Calibri" w:hAnsi="Calibri"/>
          <w:color w:val="1C1917"/>
          <w:sz w:val="22"/>
          <w:szCs w:val="22"/>
        </w:rPr>
        <w:t xml:space="preserve"> indstiller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medlemmer, og </w:t>
      </w:r>
      <w:r>
        <w:rPr>
          <w:rFonts w:ascii="Calibri" w:cs="Calibri" w:eastAsia="Calibri" w:hAnsi="Calibri"/>
          <w:color w:val="1C1917"/>
          <w:sz w:val="22"/>
          <w:szCs w:val="22"/>
          <w:shd w:fill="E8E6E1" w:color="auto" w:val="clear"/>
        </w:rPr>
        <w:t xml:space="preserve">[Ejer]</w:t>
      </w:r>
      <w:r>
        <w:rPr>
          <w:rFonts w:ascii="Calibri" w:cs="Calibri" w:eastAsia="Calibri" w:hAnsi="Calibri"/>
          <w:color w:val="1C1917"/>
          <w:sz w:val="22"/>
          <w:szCs w:val="22"/>
        </w:rPr>
        <w:t xml:space="preserve"> indstiller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medlemmer. Ejerne stemmer på generalforsamlingen for de indstillede kandidater. Formanden vælges af </w:t>
      </w:r>
      <w:r>
        <w:rPr>
          <w:rFonts w:ascii="Calibri" w:cs="Calibri" w:eastAsia="Calibri" w:hAnsi="Calibri"/>
          <w:color w:val="1C1917"/>
          <w:sz w:val="22"/>
          <w:szCs w:val="22"/>
          <w:shd w:fill="E8E6E1" w:color="auto" w:val="clear"/>
        </w:rPr>
        <w:t xml:space="preserve">[bestyrelsen / (Ejer)]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Direktionen består af </w:t>
      </w:r>
      <w:r>
        <w:rPr>
          <w:rFonts w:ascii="Calibri" w:cs="Calibri" w:eastAsia="Calibri" w:hAnsi="Calibri"/>
          <w:color w:val="1C1917"/>
          <w:sz w:val="22"/>
          <w:szCs w:val="22"/>
          <w:shd w:fill="E8E6E1" w:color="auto" w:val="clear"/>
        </w:rPr>
        <w:t xml:space="preserve">[Navn(e)]</w:t>
      </w:r>
      <w:r>
        <w:rPr>
          <w:rFonts w:ascii="Calibri" w:cs="Calibri" w:eastAsia="Calibri" w:hAnsi="Calibri"/>
          <w:color w:val="1C1917"/>
          <w:sz w:val="22"/>
          <w:szCs w:val="22"/>
        </w:rPr>
        <w:t xml:space="preserve">. Bestyrelsen fastsætter en forretningsorden og en direktionsinstruks.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Selskabet har ingen bestyrelse. Direktionen består af </w:t>
      </w:r>
      <w:r>
        <w:rPr>
          <w:rFonts w:ascii="Calibri" w:cs="Calibri" w:eastAsia="Calibri" w:hAnsi="Calibri"/>
          <w:color w:val="1C1917"/>
          <w:sz w:val="22"/>
          <w:szCs w:val="22"/>
          <w:shd w:fill="E8E6E1" w:color="auto" w:val="clear"/>
        </w:rPr>
        <w:t xml:space="preserve">[Navn(e)]</w:t>
      </w:r>
      <w:r>
        <w:rPr>
          <w:rFonts w:ascii="Calibri" w:cs="Calibri" w:eastAsia="Calibri" w:hAnsi="Calibri"/>
          <w:color w:val="1C1917"/>
          <w:sz w:val="22"/>
          <w:szCs w:val="22"/>
        </w:rPr>
        <w:t xml:space="preserve"> og vælges af generalforsamlingen.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ret for den enkelte ejer til at udpege bestyrelsesmedlemmer direkte skal stå i vedtægterne (selskabsloven § 120, stk. 2). I et aktieselskab skal generalforsamlingen stadig vælge flertallet af bestyrelsen (§ 120, stk. 1). En indstillingsret med stemmepligt, som her, kan stå i ejeraftalen alene.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Beslutninger, der kræver kvalificeret flertal</w:t>
      </w:r>
    </w:p>
    <w:p>
      <w:pPr>
        <w:spacing w:after="120" w:line="288" w:lineRule="auto"/>
      </w:pPr>
      <w:r>
        <w:rPr>
          <w:rFonts w:ascii="Calibri" w:cs="Calibri" w:eastAsia="Calibri" w:hAnsi="Calibri"/>
          <w:color w:val="1C1917"/>
          <w:sz w:val="22"/>
          <w:szCs w:val="22"/>
        </w:rPr>
        <w:t xml:space="preserve">Følgende beslutninger kræver </w:t>
      </w:r>
      <w:r>
        <w:rPr>
          <w:rFonts w:ascii="Calibri" w:cs="Calibri" w:eastAsia="Calibri" w:hAnsi="Calibri"/>
          <w:color w:val="1C1917"/>
          <w:sz w:val="22"/>
          <w:szCs w:val="22"/>
          <w:shd w:fill="E8E6E1" w:color="auto" w:val="clear"/>
        </w:rPr>
        <w:t xml:space="preserve">[enstemmighed blandt Ejerne / tilslutning fra Ejere med mindst (Procent) % af kapitalen]</w:t>
      </w:r>
      <w:r>
        <w:rPr>
          <w:rFonts w:ascii="Calibri" w:cs="Calibri" w:eastAsia="Calibri" w:hAnsi="Calibri"/>
          <w:color w:val="1C1917"/>
          <w:sz w:val="22"/>
          <w:szCs w:val="22"/>
        </w:rPr>
        <w:t xml:space="preserve">, uanset om de træffes af generalforsamlingen, bestyrelsen eller direktionen: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Ændring af vedtægterne.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Kapitalforhøjelse, kapitalnedsættelse og udstedelse af warrants eller konvertible lån.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Optagelse af lån eller sikkerhedsstillelse over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Køb eller salg af væsentlige aktiver eller virksomheder.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Udlodning af udbytte ud over udbyttepolitikken.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Ansættelse og afskedigelse af direktionen.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Aftaler mellem Selskabet og en Ejer eller en Ejers nærtstående.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Godkendelse af årsbudget.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Fusion, spaltning, likvidation eller anmodning om rekonstruktion.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Udbyttepolitik</w:t>
      </w:r>
    </w:p>
    <w:p>
      <w:pPr>
        <w:spacing w:after="120" w:line="288" w:lineRule="auto"/>
      </w:pPr>
      <w:r>
        <w:rPr>
          <w:rFonts w:ascii="Calibri" w:cs="Calibri" w:eastAsia="Calibri" w:hAnsi="Calibri"/>
          <w:color w:val="1C1917"/>
          <w:sz w:val="22"/>
          <w:szCs w:val="22"/>
        </w:rPr>
        <w:t xml:space="preserve">Ejerne tilstræber, at Selskabet hvert år udlodder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 af årets resultat efter skat, i det omfang Selskabets likviditet, planlagte investeringer og forsvarlig drift tillader det.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Udbytte kan kun udloddes af frie reserver og skal være forsvarligt (selskabsloven § 180). Udbyttepolitikken er en hensigtserklæring - den kan ikke tvinge ledelsen til en uforsvarlig udlodning.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Kapitalbehov og finansiering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Ejerne har ikke pligt til at tilføre Selskabet yderligere kapital.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Ejerne har pligt til at tilføre Selskabet kapital i forhold til deres ejerandel, når </w:t>
      </w:r>
      <w:r>
        <w:rPr>
          <w:rFonts w:ascii="Calibri" w:cs="Calibri" w:eastAsia="Calibri" w:hAnsi="Calibri"/>
          <w:color w:val="1C1917"/>
          <w:sz w:val="22"/>
          <w:szCs w:val="22"/>
          <w:shd w:fill="E8E6E1" w:color="auto" w:val="clear"/>
        </w:rPr>
        <w:t xml:space="preserve">[bestyrelsen / Ejere med (Procent) % af kapitalen]</w:t>
      </w:r>
      <w:r>
        <w:rPr>
          <w:rFonts w:ascii="Calibri" w:cs="Calibri" w:eastAsia="Calibri" w:hAnsi="Calibri"/>
          <w:color w:val="1C1917"/>
          <w:sz w:val="22"/>
          <w:szCs w:val="22"/>
        </w:rPr>
        <w:t xml:space="preserve"> beslutter det, dog højst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Ejer i alt.</w:t>
      </w:r>
    </w:p>
    <w:p>
      <w:pPr>
        <w:spacing w:after="120" w:line="288" w:lineRule="auto"/>
      </w:pPr>
      <w:r>
        <w:rPr>
          <w:rFonts w:ascii="Calibri" w:cs="Calibri" w:eastAsia="Calibri" w:hAnsi="Calibri"/>
          <w:color w:val="1C1917"/>
          <w:sz w:val="22"/>
          <w:szCs w:val="22"/>
        </w:rPr>
        <w:t xml:space="preserve">Ved kapitalforhøjelser har Ejerne ret til at tegne nye kapitalandele i forhold til deres ejerandel. Ejerlån ydes på markedsvilkår og efter skriftlig aftale.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Aftal, hvad der sker, hvis en Ejer ikke indskyder sin andel - fx at de andre må tegne hans andel, eller at manglende indskud er misligholdelse efter afsnit 16.</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Arbejdsindsats (valgfrit)</w:t>
      </w:r>
    </w:p>
    <w:p>
      <w:pPr>
        <w:spacing w:after="120" w:line="288" w:lineRule="auto"/>
      </w:pPr>
      <w:r>
        <w:rPr>
          <w:rFonts w:ascii="Calibri" w:cs="Calibri" w:eastAsia="Calibri" w:hAnsi="Calibri"/>
          <w:color w:val="1C1917"/>
          <w:sz w:val="22"/>
          <w:szCs w:val="22"/>
          <w:shd w:fill="E8E6E1" w:color="auto" w:val="clear"/>
        </w:rPr>
        <w:t xml:space="preserve">[Ejer]</w:t>
      </w:r>
      <w:r>
        <w:rPr>
          <w:rFonts w:ascii="Calibri" w:cs="Calibri" w:eastAsia="Calibri" w:hAnsi="Calibri"/>
          <w:color w:val="1C1917"/>
          <w:sz w:val="22"/>
          <w:szCs w:val="22"/>
        </w:rPr>
        <w:t xml:space="preserve"> arbejder i Selskabet som </w:t>
      </w:r>
      <w:r>
        <w:rPr>
          <w:rFonts w:ascii="Calibri" w:cs="Calibri" w:eastAsia="Calibri" w:hAnsi="Calibri"/>
          <w:color w:val="1C1917"/>
          <w:sz w:val="22"/>
          <w:szCs w:val="22"/>
          <w:shd w:fill="E8E6E1" w:color="auto" w:val="clear"/>
        </w:rPr>
        <w:t xml:space="preserve">[Stilling]</w:t>
      </w:r>
      <w:r>
        <w:rPr>
          <w:rFonts w:ascii="Calibri" w:cs="Calibri" w:eastAsia="Calibri" w:hAnsi="Calibri"/>
          <w:color w:val="1C1917"/>
          <w:sz w:val="22"/>
          <w:szCs w:val="22"/>
        </w:rPr>
        <w:t xml:space="preserve"> på </w:t>
      </w:r>
      <w:r>
        <w:rPr>
          <w:rFonts w:ascii="Calibri" w:cs="Calibri" w:eastAsia="Calibri" w:hAnsi="Calibri"/>
          <w:color w:val="1C1917"/>
          <w:sz w:val="22"/>
          <w:szCs w:val="22"/>
          <w:shd w:fill="E8E6E1" w:color="auto" w:val="clear"/>
        </w:rPr>
        <w:t xml:space="preserve">[fuld tid / (antal) timer om ugen]</w:t>
      </w:r>
      <w:r>
        <w:rPr>
          <w:rFonts w:ascii="Calibri" w:cs="Calibri" w:eastAsia="Calibri" w:hAnsi="Calibri"/>
          <w:color w:val="1C1917"/>
          <w:sz w:val="22"/>
          <w:szCs w:val="22"/>
        </w:rPr>
        <w:t xml:space="preserve">. Løn og øvrige vilkår fastsættes i en særskilt ansættelsesaftale.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Hold ansættelsesvilkår uden for ejeraftalen. Ophør af ansættelsen kan være en udtrædelsesgrund efter afsnit 12.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Konkurrence og kunder</w:t>
      </w:r>
    </w:p>
    <w:p>
      <w:pPr>
        <w:spacing w:after="120" w:line="288" w:lineRule="auto"/>
      </w:pPr>
      <w:r>
        <w:rPr>
          <w:rFonts w:ascii="Calibri" w:cs="Calibri" w:eastAsia="Calibri" w:hAnsi="Calibri"/>
          <w:color w:val="1C1917"/>
          <w:sz w:val="22"/>
          <w:szCs w:val="22"/>
        </w:rPr>
        <w:t xml:space="preserve">Så længe en Ejer ejer kapitalandele i Selskabet og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at Ejeren er udtrådt, må Ejeren ikke direkte eller indirekte drive, ansættes i eller have interesser i virksomhed, der konkurrerer med Selskabet inden for </w:t>
      </w:r>
      <w:r>
        <w:rPr>
          <w:rFonts w:ascii="Calibri" w:cs="Calibri" w:eastAsia="Calibri" w:hAnsi="Calibri"/>
          <w:color w:val="1C1917"/>
          <w:sz w:val="22"/>
          <w:szCs w:val="22"/>
          <w:shd w:fill="E8E6E1" w:color="auto" w:val="clear"/>
        </w:rPr>
        <w:t xml:space="preserve">[Geografisk område]</w:t>
      </w:r>
      <w:r>
        <w:rPr>
          <w:rFonts w:ascii="Calibri" w:cs="Calibri" w:eastAsia="Calibri" w:hAnsi="Calibri"/>
          <w:color w:val="1C1917"/>
          <w:sz w:val="22"/>
          <w:szCs w:val="22"/>
        </w:rPr>
        <w:t xml:space="preserve">. I samme periode må Ejeren ikke tage kontakt til Selskabets kunder med henblik på at overtage dem.</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Ejeren også lønmodtager i Selskabet, kan klausulen blive bedømt efter lov om ansættelsesklausuler - med krav om bl.a. kompensation og højst 12 måneders varighed (§§ 5-8). Et forbud mod at ansætte eller hverve Selskabets medarbejdere er en jobklausul, som er ugyldig over for lønmodtagere (§ 3) - derfor er det ikke med her. Klausuler, der går længere end nødvendigt, kan også stride mod konkurrenceloven eller blive tilsidesat efter aftaleloven § 36.</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Overdragelse af kapitalandele</w:t>
      </w:r>
    </w:p>
    <w:p>
      <w:pPr>
        <w:spacing w:after="120" w:line="288" w:lineRule="auto"/>
      </w:pPr>
      <w:r>
        <w:rPr>
          <w:rFonts w:ascii="Calibri" w:cs="Calibri" w:eastAsia="Calibri" w:hAnsi="Calibri"/>
          <w:color w:val="1C1917"/>
          <w:sz w:val="22"/>
          <w:szCs w:val="22"/>
        </w:rPr>
        <w:t xml:space="preserve">Ingen Ejer må overdrage eller pantsætte kapitalandele før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uden samtykke fra de øvrige Ejere.</w:t>
      </w:r>
    </w:p>
    <w:p>
      <w:pPr>
        <w:spacing w:after="120" w:line="288" w:lineRule="auto"/>
      </w:pPr>
      <w:r>
        <w:rPr>
          <w:rFonts w:ascii="Calibri" w:cs="Calibri" w:eastAsia="Calibri" w:hAnsi="Calibri"/>
          <w:color w:val="1C1917"/>
          <w:sz w:val="22"/>
          <w:szCs w:val="22"/>
        </w:rPr>
        <w:t xml:space="preserve">Ønsker en Ejer derefter at sælge, skal kapitalandelene først tilbydes de øvrige Ejere skriftligt med oplysning om pris og vilkår. De øvrige Ejere har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til at acceptere. Accepterer flere, fordeles kapitalandelene mellem dem i forhold til deres ejerandele. Forkøbsretten kan kun udøves for alle de tilbudte kapitalandele.</w:t>
      </w:r>
    </w:p>
    <w:p>
      <w:pPr>
        <w:spacing w:after="120" w:line="288" w:lineRule="auto"/>
      </w:pPr>
      <w:r>
        <w:rPr>
          <w:rFonts w:ascii="Calibri" w:cs="Calibri" w:eastAsia="Calibri" w:hAnsi="Calibri"/>
          <w:color w:val="1C1917"/>
          <w:sz w:val="22"/>
          <w:szCs w:val="22"/>
        </w:rPr>
        <w:t xml:space="preserve">Udøves forkøbsretten ikke, kan Ejeren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sælge til tredjemand til en pris og på vilkår, der ikke er gunstigere for køberen end tilbuddet til de øvrige Ejere. Køberen skal tiltræde aftalen, jf. afsnit 19.</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 Ejer kan uden forkøbsret overdrage sine kapitalandele til et selskab, som Ejeren ejer 100 %. Ophører det fulde ejerskab, skal kapitalandelene føres tilbage.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Forkøbsret og samtykkekrav virker kun over for en køber, hvis de står i vedtægterne (selskabsloven §§ 48 og 67-68). Vedtægterne skal angive en frist for forkøbsretten, og en pris, der er åbenbart urimelig, kan tilsidesættes af retten (§ 67, stk. 1). Kræver vedtægterne samtykke, anses det for givet, hvis der ikke er svaret inden 4 uger (§ 68).</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Medsalgsret og medsalgspligt</w:t>
      </w:r>
    </w:p>
    <w:p>
      <w:pPr>
        <w:spacing w:after="120" w:line="288" w:lineRule="auto"/>
      </w:pPr>
      <w:r>
        <w:rPr>
          <w:rFonts w:ascii="Calibri" w:cs="Calibri" w:eastAsia="Calibri" w:hAnsi="Calibri"/>
          <w:b/>
          <w:bCs/>
          <w:color w:val="1C1917"/>
          <w:sz w:val="22"/>
          <w:szCs w:val="22"/>
        </w:rPr>
        <w:t xml:space="preserve">Medsalgsret:</w:t>
      </w:r>
      <w:r>
        <w:rPr>
          <w:rFonts w:ascii="Calibri" w:cs="Calibri" w:eastAsia="Calibri" w:hAnsi="Calibri"/>
          <w:color w:val="1C1917"/>
          <w:sz w:val="22"/>
          <w:szCs w:val="22"/>
        </w:rPr>
        <w:t xml:space="preserve"> Sælger en eller flere Ejere kapitalandele, så køberen opnår mere end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 af kapitalen, kan hver af de øvrige Ejere kræve, at køberen også køber deres kapitalandele til samme pris pr. kapitalandel og på samme vilkår.</w:t>
      </w:r>
    </w:p>
    <w:p>
      <w:pPr>
        <w:spacing w:after="120" w:line="288" w:lineRule="auto"/>
      </w:pPr>
      <w:r>
        <w:rPr>
          <w:rFonts w:ascii="Calibri" w:cs="Calibri" w:eastAsia="Calibri" w:hAnsi="Calibri"/>
          <w:b/>
          <w:bCs/>
          <w:color w:val="1C1917"/>
          <w:sz w:val="22"/>
          <w:szCs w:val="22"/>
        </w:rPr>
        <w:t xml:space="preserve">Medsalgspligt:</w:t>
      </w:r>
      <w:r>
        <w:rPr>
          <w:rFonts w:ascii="Calibri" w:cs="Calibri" w:eastAsia="Calibri" w:hAnsi="Calibri"/>
          <w:color w:val="1C1917"/>
          <w:sz w:val="22"/>
          <w:szCs w:val="22"/>
        </w:rPr>
        <w:t xml:space="preserve"> Har Ejere med mindst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 af kapitalen accepteret et tilbud fra en uafhængig køber om at købe alle kapitalandele, skal de øvrige Ejere sælge deres kapitalandele til samme pris pr. kapitalandel og på samme vilkår. Hver Ejer giver de sælgende Ejere fuldmagt til at gennemføre salget, hvis Ejeren ikke medvirker.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Udtræden - good leaver og bad leaver</w:t>
      </w:r>
    </w:p>
    <w:p>
      <w:pPr>
        <w:spacing w:after="120" w:line="288" w:lineRule="auto"/>
      </w:pPr>
      <w:r>
        <w:rPr>
          <w:rFonts w:ascii="Calibri" w:cs="Calibri" w:eastAsia="Calibri" w:hAnsi="Calibri"/>
          <w:color w:val="1C1917"/>
          <w:sz w:val="22"/>
          <w:szCs w:val="22"/>
        </w:rPr>
        <w:t xml:space="preserve">De øvrige Ejere har ret til at købe en Ejers kapitalandele, hvis Ejeren: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ophører med at arbejde i Selskabet,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dør eller bliver varigt uarbejdsdygtig,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tages under konkursbehandling eller gældssanering, eller hvis der foretages udlæg i kapitalandelene,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væsentligt misligholder aftalen,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[Andet]</w:t>
      </w:r>
    </w:p>
    <w:p>
      <w:pPr>
        <w:spacing w:after="120" w:line="288" w:lineRule="auto"/>
      </w:pPr>
      <w:r>
        <w:rPr>
          <w:rFonts w:ascii="Calibri" w:cs="Calibri" w:eastAsia="Calibri" w:hAnsi="Calibri"/>
          <w:color w:val="1C1917"/>
          <w:sz w:val="22"/>
          <w:szCs w:val="22"/>
        </w:rPr>
        <w:t xml:space="preserve">Prisen fastsættes således: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Good leaver</w:t>
      </w:r>
      <w:r>
        <w:rPr>
          <w:rFonts w:ascii="Calibri" w:cs="Calibri" w:eastAsia="Calibri" w:hAnsi="Calibri"/>
          <w:color w:val="1C1917"/>
          <w:sz w:val="22"/>
          <w:szCs w:val="22"/>
        </w:rPr>
        <w:t xml:space="preserve"> (død, varig uarbejdsdygtighed, opsigelse fra Selskabets side uden at Ejeren har misligholdt sin ansættelse, eller </w:t>
      </w:r>
      <w:r>
        <w:rPr>
          <w:rFonts w:ascii="Calibri" w:cs="Calibri" w:eastAsia="Calibri" w:hAnsi="Calibri"/>
          <w:color w:val="1C1917"/>
          <w:sz w:val="22"/>
          <w:szCs w:val="22"/>
          <w:shd w:fill="E8E6E1" w:color="auto" w:val="clear"/>
        </w:rPr>
        <w:t xml:space="preserve">[Andet]</w:t>
      </w:r>
      <w:r>
        <w:rPr>
          <w:rFonts w:ascii="Calibri" w:cs="Calibri" w:eastAsia="Calibri" w:hAnsi="Calibri"/>
          <w:color w:val="1C1917"/>
          <w:sz w:val="22"/>
          <w:szCs w:val="22"/>
        </w:rPr>
        <w:t xml:space="preserve">): markedsværdi, jf. afsnit 13.</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Bad leaver</w:t>
      </w:r>
      <w:r>
        <w:rPr>
          <w:rFonts w:ascii="Calibri" w:cs="Calibri" w:eastAsia="Calibri" w:hAnsi="Calibri"/>
          <w:color w:val="1C1917"/>
          <w:sz w:val="22"/>
          <w:szCs w:val="22"/>
        </w:rPr>
        <w:t xml:space="preserve"> (Ejerens egen opsigelse før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bortvisning, væsentlig misligholdelse af aftalen eller </w:t>
      </w:r>
      <w:r>
        <w:rPr>
          <w:rFonts w:ascii="Calibri" w:cs="Calibri" w:eastAsia="Calibri" w:hAnsi="Calibri"/>
          <w:color w:val="1C1917"/>
          <w:sz w:val="22"/>
          <w:szCs w:val="22"/>
          <w:shd w:fill="E8E6E1" w:color="auto" w:val="clear"/>
        </w:rPr>
        <w:t xml:space="preserve">[Andet]</w:t>
      </w:r>
      <w:r>
        <w:rPr>
          <w:rFonts w:ascii="Calibri" w:cs="Calibri" w:eastAsia="Calibri" w:hAnsi="Calibri"/>
          <w:color w:val="1C1917"/>
          <w:sz w:val="22"/>
          <w:szCs w:val="22"/>
        </w:rPr>
        <w:t xml:space="preserve">): den laveste af markedsværdien og </w:t>
      </w:r>
      <w:r>
        <w:rPr>
          <w:rFonts w:ascii="Calibri" w:cs="Calibri" w:eastAsia="Calibri" w:hAnsi="Calibri"/>
          <w:color w:val="1C1917"/>
          <w:sz w:val="22"/>
          <w:szCs w:val="22"/>
          <w:shd w:fill="E8E6E1" w:color="auto" w:val="clear"/>
        </w:rPr>
        <w:t xml:space="preserve">[den indre værdi / den nominelle værdi / (Procent) % af markedsværdien]</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Køberetten udøves skriftligt senest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efter, at de øvrige Ejere har fået kendskab til udtrædelsesgrunden. Købesummen betales </w:t>
      </w:r>
      <w:r>
        <w:rPr>
          <w:rFonts w:ascii="Calibri" w:cs="Calibri" w:eastAsia="Calibri" w:hAnsi="Calibri"/>
          <w:color w:val="1C1917"/>
          <w:sz w:val="22"/>
          <w:szCs w:val="22"/>
          <w:shd w:fill="E8E6E1" w:color="auto" w:val="clear"/>
        </w:rPr>
        <w:t xml:space="preserve">[kontant ved overtagelsen / over (antal) år med en rente på (sats) % p.a.]</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bad leaver-pris, der ligger langt under værdien, kan blive tilsidesat som urimelig (aftaleloven § 36). Begrund rabatten og hold den proportional. Skriv køberetten ind i vedtægterne, så den også kan gøres gældende over for et dødsbo, et konkursbo eller en køber.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Værdiansættelse</w:t>
      </w:r>
    </w:p>
    <w:p>
      <w:pPr>
        <w:spacing w:after="120" w:line="288" w:lineRule="auto"/>
      </w:pPr>
      <w:r>
        <w:rPr>
          <w:rFonts w:ascii="Calibri" w:cs="Calibri" w:eastAsia="Calibri" w:hAnsi="Calibri"/>
          <w:color w:val="1C1917"/>
          <w:sz w:val="22"/>
          <w:szCs w:val="22"/>
        </w:rPr>
        <w:t xml:space="preserve">Markedsværdien opgøres pr. </w:t>
      </w:r>
      <w:r>
        <w:rPr>
          <w:rFonts w:ascii="Calibri" w:cs="Calibri" w:eastAsia="Calibri" w:hAnsi="Calibri"/>
          <w:color w:val="1C1917"/>
          <w:sz w:val="22"/>
          <w:szCs w:val="22"/>
          <w:shd w:fill="E8E6E1" w:color="auto" w:val="clear"/>
        </w:rPr>
        <w:t xml:space="preserve">[udtrædelsesdagen / seneste statusdag]</w:t>
      </w:r>
      <w:r>
        <w:rPr>
          <w:rFonts w:ascii="Calibri" w:cs="Calibri" w:eastAsia="Calibri" w:hAnsi="Calibri"/>
          <w:color w:val="1C1917"/>
          <w:sz w:val="22"/>
          <w:szCs w:val="22"/>
        </w:rPr>
        <w:t xml:space="preserve"> efter følgende metode: </w:t>
      </w:r>
      <w:r>
        <w:rPr>
          <w:rFonts w:ascii="Calibri" w:cs="Calibri" w:eastAsia="Calibri" w:hAnsi="Calibri"/>
          <w:color w:val="1C1917"/>
          <w:sz w:val="22"/>
          <w:szCs w:val="22"/>
          <w:shd w:fill="E8E6E1" w:color="auto" w:val="clear"/>
        </w:rPr>
        <w:t xml:space="preserve">[Indre værdi efter seneste årsrapport / (Antal) gange EBITDA med fradrag af nettorentebærende gæld / værdiansættelse ved uafhængig valuar]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Kan Ejerne ikke blive enige om værdien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fastsættes den af en uafhængig, statsautoriseret revisor, som udpeges af </w:t>
      </w:r>
      <w:r>
        <w:rPr>
          <w:rFonts w:ascii="Calibri" w:cs="Calibri" w:eastAsia="Calibri" w:hAnsi="Calibri"/>
          <w:color w:val="1C1917"/>
          <w:sz w:val="22"/>
          <w:szCs w:val="22"/>
          <w:shd w:fill="E8E6E1" w:color="auto" w:val="clear"/>
        </w:rPr>
        <w:t xml:space="preserve">[Navn på organisation eller person]</w:t>
      </w:r>
      <w:r>
        <w:rPr>
          <w:rFonts w:ascii="Calibri" w:cs="Calibri" w:eastAsia="Calibri" w:hAnsi="Calibri"/>
          <w:color w:val="1C1917"/>
          <w:sz w:val="22"/>
          <w:szCs w:val="22"/>
        </w:rPr>
        <w:t xml:space="preserve">, hvis Ejerne ikke selv kan enes. Valuarens afgørelse er endelig og bindende. Udgiften betales af </w:t>
      </w:r>
      <w:r>
        <w:rPr>
          <w:rFonts w:ascii="Calibri" w:cs="Calibri" w:eastAsia="Calibri" w:hAnsi="Calibri"/>
          <w:color w:val="1C1917"/>
          <w:sz w:val="22"/>
          <w:szCs w:val="22"/>
          <w:shd w:fill="E8E6E1" w:color="auto" w:val="clear"/>
        </w:rPr>
        <w:t xml:space="preserve">[køber og sælger med halvdelen hver]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Står der ingen prisberegning i vedtægterne, og kan ejerne ikke enes, fastsættes prisen af en skønsmand udpeget af retten (selskabsloven § 67). Det er langsomt og dyrt - aftal en metode.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Død, samlivsophør og arv</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Hver Ejer, der er personlig ejer, skal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sikre, at kapitalandelene er særeje ved ægtepagt. Ægtepagten tinglyses.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Hver Ejer skal oprette testamente, der forpligter arvingerne til at tilbyde kapitalandelene til de øvrige Ejere efter afsnit 12, så langt testamentet kan.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Ejerne </w:t>
      </w:r>
      <w:r>
        <w:rPr>
          <w:rFonts w:ascii="Calibri" w:cs="Calibri" w:eastAsia="Calibri" w:hAnsi="Calibri"/>
          <w:color w:val="1C1917"/>
          <w:sz w:val="22"/>
          <w:szCs w:val="22"/>
          <w:shd w:fill="E8E6E1" w:color="auto" w:val="clear"/>
        </w:rPr>
        <w:t xml:space="preserve">[tegner / tegner ikke]</w:t>
      </w:r>
      <w:r>
        <w:rPr>
          <w:rFonts w:ascii="Calibri" w:cs="Calibri" w:eastAsia="Calibri" w:hAnsi="Calibri"/>
          <w:color w:val="1C1917"/>
          <w:sz w:val="22"/>
          <w:szCs w:val="22"/>
        </w:rPr>
        <w:t xml:space="preserve"> krydslivsforsikringer, så de øvrige Ejere kan finansiere købet ved en Ejers død.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Arvinger kan som udgangspunkt overtage boets aktiver, også kapitalandele (arveloven § 6). Ved testamente kan en ejer bl.a. bestemme, at tvangsarven udbetales kontant (arveloven § 50, stk. 2), så kapitalandelene kan gå til andre. Køberetten i afsnit 12 sikrer derudover, at de øvrige Ejere kan købe dem.</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Dødvande</w:t>
      </w:r>
    </w:p>
    <w:p>
      <w:pPr>
        <w:spacing w:after="120" w:line="288" w:lineRule="auto"/>
      </w:pPr>
      <w:r>
        <w:rPr>
          <w:rFonts w:ascii="Calibri" w:cs="Calibri" w:eastAsia="Calibri" w:hAnsi="Calibri"/>
          <w:color w:val="1C1917"/>
          <w:sz w:val="22"/>
          <w:szCs w:val="22"/>
        </w:rPr>
        <w:t xml:space="preserve">Kan Ejerne ikke træffe en beslutning, der er nødvendig for Selskabets drift, og er spørgsmålet behandlet på to møder med mindst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dages mellemrum, forsøges uenigheden først løst ved mægling ved </w:t>
      </w:r>
      <w:r>
        <w:rPr>
          <w:rFonts w:ascii="Calibri" w:cs="Calibri" w:eastAsia="Calibri" w:hAnsi="Calibri"/>
          <w:color w:val="1C1917"/>
          <w:sz w:val="22"/>
          <w:szCs w:val="22"/>
          <w:shd w:fill="E8E6E1" w:color="auto" w:val="clear"/>
        </w:rPr>
        <w:t xml:space="preserve">[Mæglingsinstitution]</w:t>
      </w:r>
      <w:r>
        <w:rPr>
          <w:rFonts w:ascii="Calibri" w:cs="Calibri" w:eastAsia="Calibri" w:hAnsi="Calibri"/>
          <w:color w:val="1C1917"/>
          <w:sz w:val="22"/>
          <w:szCs w:val="22"/>
        </w:rPr>
        <w:t xml:space="preserve">. Er uenigheden ikke løst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at mæglingen er indledt: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kan hver Ejer give de øvrige et skriftligt tilbud om enten at købe deres kapitalandele eller sælge sine egne til samme pris pr. kapitalandel. Modtageren vælger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om den vil købe eller sælge. Vælger modtageren ikke, anses den for at have valgt at sælge.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skal Selskabet sælges, og Ejerne skal medvirke til salget.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skal Selskabet likvideres.</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Det første alternativ ("shoot-out") er effektivt, men favoriserer den ejer, der har lettest adgang til finansiering.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Misligholdelse</w:t>
      </w:r>
    </w:p>
    <w:p>
      <w:pPr>
        <w:spacing w:after="120" w:line="288" w:lineRule="auto"/>
      </w:pPr>
      <w:r>
        <w:rPr>
          <w:rFonts w:ascii="Calibri" w:cs="Calibri" w:eastAsia="Calibri" w:hAnsi="Calibri"/>
          <w:color w:val="1C1917"/>
          <w:sz w:val="22"/>
          <w:szCs w:val="22"/>
        </w:rPr>
        <w:t xml:space="preserve">Misligholder en Ejer aftalen og bringes misligholdelsen ikke til ophør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skriftligt påkrav, betaler Ejeren en bod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til </w:t>
      </w:r>
      <w:r>
        <w:rPr>
          <w:rFonts w:ascii="Calibri" w:cs="Calibri" w:eastAsia="Calibri" w:hAnsi="Calibri"/>
          <w:color w:val="1C1917"/>
          <w:sz w:val="22"/>
          <w:szCs w:val="22"/>
          <w:shd w:fill="E8E6E1" w:color="auto" w:val="clear"/>
        </w:rPr>
        <w:t xml:space="preserve">[hver af de øvrige Ejere / Selskabet]</w:t>
      </w:r>
      <w:r>
        <w:rPr>
          <w:rFonts w:ascii="Calibri" w:cs="Calibri" w:eastAsia="Calibri" w:hAnsi="Calibri"/>
          <w:color w:val="1C1917"/>
          <w:sz w:val="22"/>
          <w:szCs w:val="22"/>
        </w:rPr>
        <w:t xml:space="preserve">. Ved væsentlig misligholdelse har de øvrige Ejere desuden køberet efter bad leaver-reglerne i afsnit 12.</w:t>
      </w:r>
    </w:p>
    <w:p>
      <w:pPr>
        <w:spacing w:after="120" w:line="288" w:lineRule="auto"/>
      </w:pPr>
      <w:r>
        <w:rPr>
          <w:rFonts w:ascii="Calibri" w:cs="Calibri" w:eastAsia="Calibri" w:hAnsi="Calibri"/>
          <w:color w:val="1C1917"/>
          <w:sz w:val="22"/>
          <w:szCs w:val="22"/>
        </w:rPr>
        <w:t xml:space="preserve">Boden udelukker ikke krav om erstatning for et større tab.</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Fortrolighed</w:t>
      </w:r>
    </w:p>
    <w:p>
      <w:pPr>
        <w:spacing w:after="120" w:line="288" w:lineRule="auto"/>
      </w:pPr>
      <w:r>
        <w:rPr>
          <w:rFonts w:ascii="Calibri" w:cs="Calibri" w:eastAsia="Calibri" w:hAnsi="Calibri"/>
          <w:color w:val="1C1917"/>
          <w:sz w:val="22"/>
          <w:szCs w:val="22"/>
        </w:rPr>
        <w:t xml:space="preserve">Ejerne skal holde aftalens indhold og fortrolige oplysninger om Selskabet hemmelige, også efter at de er udtrådt. Det gælder ikke, hvis lovgivning kræver oplysningen givet, eller oplysningen er offentligt tilgængelig.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Ikrafttræden og ophør</w:t>
      </w:r>
    </w:p>
    <w:p>
      <w:pPr>
        <w:spacing w:after="120" w:line="288" w:lineRule="auto"/>
      </w:pPr>
      <w:r>
        <w:rPr>
          <w:rFonts w:ascii="Calibri" w:cs="Calibri" w:eastAsia="Calibri" w:hAnsi="Calibri"/>
          <w:color w:val="1C1917"/>
          <w:sz w:val="22"/>
          <w:szCs w:val="22"/>
        </w:rPr>
        <w:t xml:space="preserve">Aftalen træder i kraft ved underskrift og gælder, så længe mindst to af Ejerne ejer kapitalandele i Selskabet</w:t>
      </w:r>
      <w:r>
        <w:rPr>
          <w:rFonts w:ascii="Calibri" w:cs="Calibri" w:eastAsia="Calibri" w:hAnsi="Calibri"/>
          <w:color w:val="1C1917"/>
          <w:sz w:val="22"/>
          <w:szCs w:val="22"/>
          <w:shd w:fill="E8E6E1" w:color="auto" w:val="clear"/>
        </w:rPr>
        <w:t xml:space="preserve">[, dog højst til den (Dato)]</w:t>
      </w:r>
      <w:r>
        <w:rPr>
          <w:rFonts w:ascii="Calibri" w:cs="Calibri" w:eastAsia="Calibri" w:hAnsi="Calibri"/>
          <w:color w:val="1C1917"/>
          <w:sz w:val="22"/>
          <w:szCs w:val="22"/>
        </w:rPr>
        <w:t xml:space="preserve">. En Ejer, der er udtrådt, er fortsat bundet af afsnit 9 og 17.</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Nye ejere</w:t>
      </w:r>
    </w:p>
    <w:p>
      <w:pPr>
        <w:spacing w:after="120" w:line="288" w:lineRule="auto"/>
      </w:pPr>
      <w:r>
        <w:rPr>
          <w:rFonts w:ascii="Calibri" w:cs="Calibri" w:eastAsia="Calibri" w:hAnsi="Calibri"/>
          <w:color w:val="1C1917"/>
          <w:sz w:val="22"/>
          <w:szCs w:val="22"/>
        </w:rPr>
        <w:t xml:space="preserve">Den, der erhverver kapitalandele i Selskabet, skal tiltræde aftalen ved at underskrive en tiltrædelseserklæring (bilag 2). Kapitalandele kan ikke overdrages til en køber, der ikke tiltræder.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Ændringer</w:t>
      </w:r>
    </w:p>
    <w:p>
      <w:pPr>
        <w:spacing w:after="120" w:line="288" w:lineRule="auto"/>
      </w:pPr>
      <w:r>
        <w:rPr>
          <w:rFonts w:ascii="Calibri" w:cs="Calibri" w:eastAsia="Calibri" w:hAnsi="Calibri"/>
          <w:color w:val="1C1917"/>
          <w:sz w:val="22"/>
          <w:szCs w:val="22"/>
        </w:rPr>
        <w:t xml:space="preserve">Ændringer af aftalen skal være skriftlige og underskrevet af alle Ejere.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Lovvalg og tvister</w:t>
      </w:r>
    </w:p>
    <w:p>
      <w:pPr>
        <w:spacing w:after="120" w:line="288" w:lineRule="auto"/>
      </w:pPr>
      <w:r>
        <w:rPr>
          <w:rFonts w:ascii="Calibri" w:cs="Calibri" w:eastAsia="Calibri" w:hAnsi="Calibri"/>
          <w:color w:val="1C1917"/>
          <w:sz w:val="22"/>
          <w:szCs w:val="22"/>
        </w:rPr>
        <w:t xml:space="preserve">Aftalen er underlagt dansk ret. Tvister søges først løst ved forhandling og derefter ved mægling. Lykkes det ikke, afgøres tvisten: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ved voldgift efter reglerne for Voldgiftsinstituttet. Voldgiftsretten har sæde i </w:t>
      </w:r>
      <w:r>
        <w:rPr>
          <w:rFonts w:ascii="Calibri" w:cs="Calibri" w:eastAsia="Calibri" w:hAnsi="Calibri"/>
          <w:color w:val="1C1917"/>
          <w:sz w:val="22"/>
          <w:szCs w:val="22"/>
          <w:shd w:fill="E8E6E1" w:color="auto" w:val="clear"/>
        </w:rPr>
        <w:t xml:space="preserve">[By]</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ved </w:t>
      </w:r>
      <w:r>
        <w:rPr>
          <w:rFonts w:ascii="Calibri" w:cs="Calibri" w:eastAsia="Calibri" w:hAnsi="Calibri"/>
          <w:color w:val="1C1917"/>
          <w:sz w:val="22"/>
          <w:szCs w:val="22"/>
          <w:shd w:fill="E8E6E1" w:color="auto" w:val="clear"/>
        </w:rPr>
        <w:t xml:space="preserve">[Retten i (by)]</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Hver Ejer kan altid søge foreløbige retsmidler ved de almindelige domstole.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Voldgift er fortroligt og som regel hurtigere end domstolene, men dyrere i små sager, og afgørelsen kan ikke ankes. En voldgiftsaftale binder kun dem, der har tiltrådt den - sørg for, at nye ejere tiltræder (bilag 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spacing w:after="120" w:line="288" w:lineRule="auto"/>
      </w:pPr>
      <w:r>
        <w:rPr>
          <w:rFonts w:ascii="Calibri" w:cs="Calibri" w:eastAsia="Calibri" w:hAnsi="Calibri"/>
          <w:color w:val="1C1917"/>
          <w:sz w:val="22"/>
          <w:szCs w:val="22"/>
        </w:rPr>
        <w:t xml:space="preserve">Undertegnede personlige ejere af de holdingselskaber, der er part i aftalen, tiltræder aftalen og hæfter for, at deres holdingselskab overholder den.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 af holdingselskab</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Ejer af holdingselskab</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spacing w:after="120" w:line="288" w:lineRule="auto"/>
      </w:pPr>
      <w:r>
        <w:rPr>
          <w:rFonts w:ascii="Calibri" w:cs="Calibri" w:eastAsia="Calibri" w:hAnsi="Calibri"/>
          <w:color w:val="1C1917"/>
          <w:sz w:val="22"/>
          <w:szCs w:val="22"/>
        </w:rPr>
        <w:t xml:space="preserve">Til efterretning for Selskabet:</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Selskabet (bestyrelse/direktion)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Husk at registrere reelle ejere i Erhvervsstyrelsen, hvis aftalen giver en person kontrol over Selskabet, fx via stemmebinding eller vetoret. Manglende registrering kan straffes.</w:t>
      </w:r>
    </w:p>
    <w:p>
      <w:pPr>
        <w:pageBreakBefore/>
      </w:pPr>
    </w:p>
    <w:p>
      <w:pPr>
        <w:keepNext/>
        <w:spacing w:after="80" w:before="220"/>
      </w:pPr>
      <w:r>
        <w:rPr>
          <w:rFonts w:ascii="Calibri" w:cs="Calibri" w:eastAsia="Calibri" w:hAnsi="Calibri"/>
          <w:b/>
          <w:bCs/>
          <w:color w:val="28394A"/>
          <w:sz w:val="22"/>
          <w:szCs w:val="22"/>
        </w:rPr>
        <w:t xml:space="preserve">Bilag 1 - Selskabets vedtægter</w:t>
      </w:r>
    </w:p>
    <w:p>
      <w:pPr>
        <w:spacing w:after="120" w:line="288" w:lineRule="auto"/>
      </w:pPr>
      <w:r>
        <w:rPr>
          <w:rFonts w:ascii="Calibri" w:cs="Calibri" w:eastAsia="Calibri" w:hAnsi="Calibri"/>
          <w:color w:val="1C1917"/>
          <w:sz w:val="22"/>
          <w:szCs w:val="22"/>
          <w:shd w:fill="E8E6E1" w:color="auto" w:val="clear"/>
        </w:rPr>
        <w:t xml:space="preserve">[Vedlæg gældende vedtægter.]</w:t>
      </w:r>
    </w:p>
    <w:p>
      <w:pPr>
        <w:keepNext/>
        <w:spacing w:after="80" w:before="220"/>
      </w:pPr>
      <w:r>
        <w:rPr>
          <w:rFonts w:ascii="Calibri" w:cs="Calibri" w:eastAsia="Calibri" w:hAnsi="Calibri"/>
          <w:b/>
          <w:bCs/>
          <w:color w:val="28394A"/>
          <w:sz w:val="22"/>
          <w:szCs w:val="22"/>
        </w:rPr>
        <w:t xml:space="preserve">Bilag 2 - Tiltrædelseserklæring</w:t>
      </w:r>
    </w:p>
    <w:p>
      <w:pPr>
        <w:spacing w:after="120" w:line="288" w:lineRule="auto"/>
      </w:pPr>
      <w:r>
        <w:rPr>
          <w:rFonts w:ascii="Calibri" w:cs="Calibri" w:eastAsia="Calibri" w:hAnsi="Calibri"/>
          <w:color w:val="1C1917"/>
          <w:sz w:val="22"/>
          <w:szCs w:val="22"/>
        </w:rPr>
        <w:t xml:space="preserve">Undertegnede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CPR-/CVR-nr. </w:t>
      </w:r>
      <w:r>
        <w:rPr>
          <w:rFonts w:ascii="Calibri" w:cs="Calibri" w:eastAsia="Calibri" w:hAnsi="Calibri"/>
          <w:color w:val="1C1917"/>
          <w:sz w:val="22"/>
          <w:szCs w:val="22"/>
          <w:shd w:fill="E8E6E1" w:color="auto" w:val="clear"/>
        </w:rPr>
        <w:t xml:space="preserve">[CPR-/CVR-nr.]</w:t>
      </w:r>
      <w:r>
        <w:rPr>
          <w:rFonts w:ascii="Calibri" w:cs="Calibri" w:eastAsia="Calibri" w:hAnsi="Calibri"/>
          <w:color w:val="1C1917"/>
          <w:sz w:val="22"/>
          <w:szCs w:val="22"/>
        </w:rPr>
        <w:t xml:space="preserve">, har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erhvervet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kapitalandele i </w:t>
      </w:r>
      <w:r>
        <w:rPr>
          <w:rFonts w:ascii="Calibri" w:cs="Calibri" w:eastAsia="Calibri" w:hAnsi="Calibri"/>
          <w:color w:val="1C1917"/>
          <w:sz w:val="22"/>
          <w:szCs w:val="22"/>
          <w:shd w:fill="E8E6E1" w:color="auto" w:val="clear"/>
        </w:rPr>
        <w:t xml:space="preserve">[Selskabets navn]</w:t>
      </w:r>
      <w:r>
        <w:rPr>
          <w:rFonts w:ascii="Calibri" w:cs="Calibri" w:eastAsia="Calibri" w:hAnsi="Calibri"/>
          <w:color w:val="1C1917"/>
          <w:sz w:val="22"/>
          <w:szCs w:val="22"/>
        </w:rPr>
        <w:t xml:space="preserve"> og tiltræder herved ejeraftalen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med samme rettigheder og pligter som de øvrige Ejere.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Ny ejer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0r2382hgz08t0lhkqs4ye">
      <w:r>
        <w:rPr>
          <w:rFonts w:ascii="Calibri" w:cs="Calibri" w:eastAsia="Calibri" w:hAnsi="Calibri"/>
          <w:color w:val="1E4FA3"/>
          <w:sz w:val="15"/>
          <w:szCs w:val="15"/>
          <w:u w:val="single"/>
        </w:rPr>
        <w:t xml:space="preserve">lovguiden.dk/praksisoversigt/erhverv-og-kontrakter/ejeraftale</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yzxjcgekhoew7rfy7oa8q">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icj0r3d4chmd2cugwfevo">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9iisdg8ae4gbcxs0spyn0" Type="http://schemas.openxmlformats.org/officeDocument/2006/relationships/hyperlink" Target="https://www.lovguiden.dk" TargetMode="External"/><Relationship Id="rIdgd72lqil4p-whpeeui4fq" Type="http://schemas.openxmlformats.org/officeDocument/2006/relationships/hyperlink" Target="https://www.lovguiden.dk/praksisoversigt/erhverv-og-kontrakter/ejeraftale" TargetMode="External"/><Relationship Id="rId0m7kykbxp0c0j8xaesk81" Type="http://schemas.openxmlformats.org/officeDocument/2006/relationships/hyperlink" Target="https://www.lovguiden.dk/praksisoversigt/erhverv-og-kontrakter/ejeraftale"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0r2382hgz08t0lhkqs4ye" Type="http://schemas.openxmlformats.org/officeDocument/2006/relationships/hyperlink" Target="https://www.lovguiden.dk/praksisoversigt/erhverv-og-kontrakter/ejeraftale"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yzxjcgekhoew7rfy7oa8q"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icj0r3d4chmd2cugwfevo"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Ejeraftale</dc:title>
  <dc:creator>Lovguiden</dc:creator>
  <cp:lastModifiedBy>Un-named</cp:lastModifiedBy>
  <cp:revision>1</cp:revision>
  <dcterms:created xsi:type="dcterms:W3CDTF">2026-10-27T14:06:17.043Z</dcterms:created>
  <dcterms:modified xsi:type="dcterms:W3CDTF">2026-10-27T14:06:17.043Z</dcterms:modified>
</cp:coreProperties>
</file>

<file path=docProps/custom.xml><?xml version="1.0" encoding="utf-8"?>
<Properties xmlns="http://schemas.openxmlformats.org/officeDocument/2006/custom-properties" xmlns:vt="http://schemas.openxmlformats.org/officeDocument/2006/docPropsVTypes"/>
</file>