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BOLIG- &amp; EJENDOMSDOKUMENTER</w:t>
      </w:r>
    </w:p>
    <w:p>
      <w:pPr>
        <w:spacing w:after="120" w:before="60" w:line="300" w:lineRule="auto"/>
      </w:pPr>
      <w:r>
        <w:rPr>
          <w:rFonts w:ascii="Calibri" w:cs="Calibri" w:eastAsia="Calibri" w:hAnsi="Calibri"/>
          <w:b/>
          <w:bCs/>
          <w:color w:val="28394A"/>
          <w:sz w:val="64"/>
          <w:szCs w:val="64"/>
        </w:rPr>
        <w:t xml:space="preserve">Lejekontrakt for erhvervslokaler</w:t>
      </w:r>
    </w:p>
    <w:p>
      <w:pPr>
        <w:spacing w:after="200" w:line="288" w:lineRule="auto"/>
      </w:pPr>
      <w:r>
        <w:rPr>
          <w:rFonts w:ascii="Calibri" w:cs="Calibri" w:eastAsia="Calibri" w:hAnsi="Calibri"/>
          <w:color w:val="5F6B76"/>
          <w:sz w:val="26"/>
          <w:szCs w:val="26"/>
        </w:rPr>
        <w:t xml:space="preserve">mellem </w:t>
      </w:r>
      <w:r>
        <w:rPr>
          <w:rFonts w:ascii="Calibri" w:cs="Calibri" w:eastAsia="Calibri" w:hAnsi="Calibri"/>
          <w:color w:val="1C1917"/>
          <w:sz w:val="26"/>
          <w:szCs w:val="26"/>
          <w:shd w:fill="E8E6E1" w:color="auto" w:val="clear"/>
        </w:rPr>
        <w:t xml:space="preserve">[Udlejer]</w:t>
      </w:r>
      <w:r>
        <w:rPr>
          <w:rFonts w:ascii="Calibri" w:cs="Calibri" w:eastAsia="Calibri" w:hAnsi="Calibri"/>
          <w:color w:val="5F6B76"/>
          <w:sz w:val="26"/>
          <w:szCs w:val="26"/>
        </w:rPr>
        <w:t xml:space="preserve"> og </w:t>
      </w:r>
      <w:r>
        <w:rPr>
          <w:rFonts w:ascii="Calibri" w:cs="Calibri" w:eastAsia="Calibri" w:hAnsi="Calibri"/>
          <w:color w:val="1C1917"/>
          <w:sz w:val="26"/>
          <w:szCs w:val="26"/>
          <w:shd w:fill="E8E6E1" w:color="auto" w:val="clear"/>
        </w:rPr>
        <w:t xml:space="preserve">[Lejer]</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Skabelonen er en lejekontrakt om lokaler, der udelukkende bruges til erhverv (kontor, butik, lager, værksted m.v.). Der er ingen krav om en bestemt formular, og kontrakten skal kun være skriftlig, hvis en af parterne kræver det (erhvervslejeloven § 5, stk. 1). En skriftlig kontrakt anbefales altid.</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jt9qfxkfwnfttleenvzeq">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nxv9m-bastvstetsxqrfl">
              <w:r>
                <w:rPr>
                  <w:rFonts w:ascii="Calibri" w:cs="Calibri" w:eastAsia="Calibri" w:hAnsi="Calibri"/>
                  <w:color w:val="1E4FA3"/>
                  <w:sz w:val="20"/>
                  <w:szCs w:val="20"/>
                  <w:u w:val="single"/>
                </w:rPr>
                <w:t xml:space="preserve">lovguiden.dk/praksisoversigt/fast-ejendom-og-bolig/erhvervslejekontrakt</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Bruges lokalerne også til beboelse (blandet lejemål), gælder lejeloven, og så skal skabelonen ikke bruges.</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De fleste regler i erhvervslejeloven kan fraviges ved aftale (§ 4), men ikke alle. Fx kan reglerne om udlejers opsigelse ikke fraviges til skade for lejeren (§ 68), og udlejer kan ikke aftale sig til at kunne hæve af andre grunde end dem i § 69 (§ 72). Det, kontrakten ikke regulerer, afgøres efter loven.</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Driftsudgifter skal specificeres.</w:t>
      </w:r>
      <w:r>
        <w:rPr>
          <w:rFonts w:ascii="Calibri" w:cs="Calibri" w:eastAsia="Calibri" w:hAnsi="Calibri"/>
          <w:color w:val="3F3A33"/>
          <w:sz w:val="19"/>
          <w:szCs w:val="19"/>
        </w:rPr>
        <w:t xml:space="preserve"> Kun de driftsudgifter, der står i kontrakten med art og anslået beløb, kan opkræves ud over lejen (§ 5, stk. 2). Udfyld tabellen i afsnittet om driftsudgifter omhyggeligt.</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Faldgruber: driftsudgifterne er ikke specificeret; parterne tror, at en indeksklausul udelukker regulering til markedsleje (det gør den ikke, medmindre det står udtrykkeligt); retablering ved fraflytning er ikke forbeholdt; der er ingen indflytningsrapport; udlejer overser 4-ugersfristen for krav ved fraflytning; moms og hvem der bærer den, er uafklaret.</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Erhvervslejeloven (LBK nr. 1446 af 9. november 2022), bl.a. §§ 4-6, 13, 16, 21, 34, 55, 60-72, 74, 75 og 77.</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Momsloven § 51 (frivillig registrering ved udlejning af fast ejendom).</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kcy4zknmmylm56rtifea3">
        <w:r>
          <w:rPr>
            <w:rFonts w:ascii="Calibri" w:cs="Calibri" w:eastAsia="Calibri" w:hAnsi="Calibri"/>
            <w:color w:val="1E4FA3"/>
            <w:sz w:val="20"/>
            <w:szCs w:val="20"/>
            <w:u w:val="single"/>
          </w:rPr>
          <w:t xml:space="preserve">lovguiden.dk/praksisoversigt/fast-ejendom-og-bolig/erhvervslejekontrakt</w:t>
        </w:r>
      </w:hyperlink>
    </w:p>
    <w:p>
      <w:pPr>
        <w:spacing w:after="80"/>
      </w:pPr>
      <w:r>
        <w:rPr>
          <w:rFonts w:ascii="Calibri" w:cs="Calibri" w:eastAsia="Calibri" w:hAnsi="Calibri"/>
          <w:b/>
          <w:bCs/>
          <w:color w:val="28394A"/>
          <w:sz w:val="44"/>
          <w:szCs w:val="44"/>
        </w:rPr>
        <w:t xml:space="preserve">Lejekontrakt for erhvervslokaler</w:t>
      </w:r>
    </w:p>
    <w:p>
      <w:pPr>
        <w:spacing w:after="120" w:line="288" w:lineRule="auto"/>
      </w:pPr>
      <w:r>
        <w:rPr>
          <w:rFonts w:ascii="Calibri" w:cs="Calibri" w:eastAsia="Calibri" w:hAnsi="Calibri"/>
          <w:color w:val="5F6B76"/>
          <w:sz w:val="22"/>
          <w:szCs w:val="22"/>
        </w:rPr>
        <w:t xml:space="preserve">mellem </w:t>
      </w:r>
      <w:r>
        <w:rPr>
          <w:rFonts w:ascii="Calibri" w:cs="Calibri" w:eastAsia="Calibri" w:hAnsi="Calibri"/>
          <w:color w:val="1C1917"/>
          <w:sz w:val="22"/>
          <w:szCs w:val="22"/>
          <w:shd w:fill="E8E6E1" w:color="auto" w:val="clear"/>
        </w:rPr>
        <w:t xml:space="preserve">[Udlejer]</w:t>
      </w:r>
      <w:r>
        <w:rPr>
          <w:rFonts w:ascii="Calibri" w:cs="Calibri" w:eastAsia="Calibri" w:hAnsi="Calibri"/>
          <w:color w:val="5F6B76"/>
          <w:sz w:val="22"/>
          <w:szCs w:val="22"/>
        </w:rPr>
        <w:t xml:space="preserve"> og </w:t>
      </w:r>
      <w:r>
        <w:rPr>
          <w:rFonts w:ascii="Calibri" w:cs="Calibri" w:eastAsia="Calibri" w:hAnsi="Calibri"/>
          <w:color w:val="1C1917"/>
          <w:sz w:val="22"/>
          <w:szCs w:val="22"/>
          <w:shd w:fill="E8E6E1" w:color="auto" w:val="clear"/>
        </w:rPr>
        <w:t xml:space="preserve">[Lejer]</w:t>
      </w:r>
    </w:p>
    <w:p>
      <w:pPr>
        <w:pBdr>
          <w:bottom w:val="single" w:color="9A7032" w:sz="12"/>
        </w:pBdr>
        <w:spacing w:after="360"/>
        <w:ind w:right="760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Parter</w:t>
      </w:r>
    </w:p>
    <w:p>
      <w:pPr>
        <w:keepNext/>
        <w:spacing w:after="80" w:before="220"/>
      </w:pPr>
      <w:r>
        <w:rPr>
          <w:rFonts w:ascii="Calibri" w:cs="Calibri" w:eastAsia="Calibri" w:hAnsi="Calibri"/>
          <w:b/>
          <w:bCs/>
          <w:color w:val="28394A"/>
          <w:sz w:val="22"/>
          <w:szCs w:val="22"/>
        </w:rPr>
        <w:t xml:space="preserve">Udlejer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CVR-nr.</w:t>
      </w:r>
      <w:r>
        <w:t xml:space="preserve">	</w:t>
      </w:r>
      <w:r>
        <w:rPr>
          <w:rFonts w:ascii="Calibri" w:cs="Calibri" w:eastAsia="Calibri" w:hAnsi="Calibri"/>
          <w:color w:val="1C1917"/>
          <w:sz w:val="22"/>
          <w:szCs w:val="22"/>
          <w:shd w:fill="E8E6E1" w:color="auto" w:val="clear"/>
        </w:rPr>
        <w:t xml:space="preserve">[CVR-nr.]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Kontaktperson</w:t>
      </w:r>
      <w:r>
        <w:t xml:space="preserve">	</w:t>
      </w:r>
      <w:r>
        <w:rPr>
          <w:rFonts w:ascii="Calibri" w:cs="Calibri" w:eastAsia="Calibri" w:hAnsi="Calibri"/>
          <w:color w:val="1C1917"/>
          <w:sz w:val="22"/>
          <w:szCs w:val="22"/>
          <w:shd w:fill="E8E6E1" w:color="auto" w:val="clear"/>
        </w:rPr>
        <w:t xml:space="preserve">[Navn, telefon, e-mail]</w:t>
      </w:r>
    </w:p>
    <w:p>
      <w:pPr>
        <w:keepNext/>
        <w:spacing w:after="80" w:before="220"/>
      </w:pPr>
      <w:r>
        <w:rPr>
          <w:rFonts w:ascii="Calibri" w:cs="Calibri" w:eastAsia="Calibri" w:hAnsi="Calibri"/>
          <w:b/>
          <w:bCs/>
          <w:color w:val="28394A"/>
          <w:sz w:val="22"/>
          <w:szCs w:val="22"/>
        </w:rPr>
        <w:t xml:space="preserve">Lejer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CVR-nr.</w:t>
      </w:r>
      <w:r>
        <w:t xml:space="preserve">	</w:t>
      </w:r>
      <w:r>
        <w:rPr>
          <w:rFonts w:ascii="Calibri" w:cs="Calibri" w:eastAsia="Calibri" w:hAnsi="Calibri"/>
          <w:color w:val="1C1917"/>
          <w:sz w:val="22"/>
          <w:szCs w:val="22"/>
          <w:shd w:fill="E8E6E1" w:color="auto" w:val="clear"/>
        </w:rPr>
        <w:t xml:space="preserve">[CVR-nr.]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Kontaktperson</w:t>
      </w:r>
      <w:r>
        <w:t xml:space="preserve">	</w:t>
      </w:r>
      <w:r>
        <w:rPr>
          <w:rFonts w:ascii="Calibri" w:cs="Calibri" w:eastAsia="Calibri" w:hAnsi="Calibri"/>
          <w:color w:val="1C1917"/>
          <w:sz w:val="22"/>
          <w:szCs w:val="22"/>
          <w:shd w:fill="E8E6E1" w:color="auto" w:val="clear"/>
        </w:rPr>
        <w:t xml:space="preserve">[Navn, telefon, e-mail]</w:t>
      </w:r>
    </w:p>
    <w:p>
      <w:pPr>
        <w:keepNext/>
        <w:spacing w:after="80" w:before="220"/>
      </w:pPr>
      <w:r>
        <w:rPr>
          <w:rFonts w:ascii="Calibri" w:cs="Calibri" w:eastAsia="Calibri" w:hAnsi="Calibri"/>
          <w:b/>
          <w:bCs/>
          <w:color w:val="28394A"/>
          <w:sz w:val="22"/>
          <w:szCs w:val="22"/>
        </w:rPr>
        <w:t xml:space="preserve">Garant (valgfrit)</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[Fx moderselskab eller hovedanpartshaver]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CVR-/CPR-nr.</w:t>
      </w:r>
      <w:r>
        <w:t xml:space="preserve">	</w:t>
      </w:r>
      <w:r>
        <w:rPr>
          <w:rFonts w:ascii="Calibri" w:cs="Calibri" w:eastAsia="Calibri" w:hAnsi="Calibri"/>
          <w:color w:val="1C1917"/>
          <w:sz w:val="22"/>
          <w:szCs w:val="22"/>
          <w:shd w:fill="E8E6E1" w:color="auto" w:val="clear"/>
        </w:rPr>
        <w:t xml:space="preserve">[Nr.]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spacing w:after="120" w:line="288" w:lineRule="auto"/>
      </w:pPr>
      <w:r>
        <w:rPr>
          <w:rFonts w:ascii="Calibri" w:cs="Calibri" w:eastAsia="Calibri" w:hAnsi="Calibri"/>
          <w:color w:val="1C1917"/>
          <w:sz w:val="22"/>
          <w:szCs w:val="22"/>
        </w:rPr>
        <w:t xml:space="preserve">Garanten hæfter som selvskyldnerkautionist for lejers forpligtelser efter kontrakten </w:t>
      </w:r>
      <w:r>
        <w:rPr>
          <w:rFonts w:ascii="Calibri" w:cs="Calibri" w:eastAsia="Calibri" w:hAnsi="Calibri"/>
          <w:color w:val="1C1917"/>
          <w:sz w:val="22"/>
          <w:szCs w:val="22"/>
          <w:shd w:fill="E8E6E1" w:color="auto" w:val="clear"/>
        </w:rPr>
        <w:t xml:space="preserve">[med højst kr. (Beløb) / uden beløbsbegrænsning]</w:t>
      </w:r>
      <w:r>
        <w:rPr>
          <w:rFonts w:ascii="Calibri" w:cs="Calibri" w:eastAsia="Calibri" w:hAnsi="Calibri"/>
          <w:color w:val="1C1917"/>
          <w:sz w:val="22"/>
          <w:szCs w:val="22"/>
        </w:rPr>
        <w:t xml:space="preserv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Det lejede</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etage, postnr. og by]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Matr.nr. og ejerlav</w:t>
      </w:r>
      <w:r>
        <w:t xml:space="preserve">	</w:t>
      </w:r>
      <w:r>
        <w:rPr>
          <w:rFonts w:ascii="Calibri" w:cs="Calibri" w:eastAsia="Calibri" w:hAnsi="Calibri"/>
          <w:color w:val="1C1917"/>
          <w:sz w:val="22"/>
          <w:szCs w:val="22"/>
          <w:shd w:fill="E8E6E1" w:color="auto" w:val="clear"/>
        </w:rPr>
        <w:t xml:space="preserve">[Matr.nr.]</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[Ejerlav]</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Lejemålets areal</w:t>
      </w:r>
      <w:r>
        <w:t xml:space="preserve">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m², heraf andel af fællesarealer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m²</w:t>
      </w:r>
    </w:p>
    <w:p>
      <w:pPr>
        <w:spacing w:after="120" w:line="288" w:lineRule="auto"/>
      </w:pPr>
      <w:r>
        <w:rPr>
          <w:rFonts w:ascii="Calibri" w:cs="Calibri" w:eastAsia="Calibri" w:hAnsi="Calibri"/>
          <w:color w:val="1C1917"/>
          <w:sz w:val="22"/>
          <w:szCs w:val="22"/>
        </w:rPr>
        <w:t xml:space="preserve">Arealet er opgjort efter: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BBR-arealet.</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Følgende målemetode: </w:t>
      </w:r>
      <w:r>
        <w:rPr>
          <w:rFonts w:ascii="Calibri" w:cs="Calibri" w:eastAsia="Calibri" w:hAnsi="Calibri"/>
          <w:color w:val="1C1917"/>
          <w:sz w:val="22"/>
          <w:szCs w:val="22"/>
          <w:shd w:fill="E8E6E1" w:color="auto" w:val="clear"/>
        </w:rPr>
        <w:t xml:space="preserve">[Fx DS/INF 155 eller anden metode]</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Lejemålets afgrænsning fremgår af plantegning, bilag </w:t>
      </w:r>
      <w:r>
        <w:rPr>
          <w:rFonts w:ascii="Calibri" w:cs="Calibri" w:eastAsia="Calibri" w:hAnsi="Calibri"/>
          <w:color w:val="1C1917"/>
          <w:sz w:val="22"/>
          <w:szCs w:val="22"/>
          <w:shd w:fill="E8E6E1" w:color="auto" w:val="clear"/>
        </w:rPr>
        <w:t xml:space="preserve">[Nr.]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Lejer har desuden brugsret til: </w:t>
      </w:r>
      <w:r>
        <w:rPr>
          <w:rFonts w:ascii="Calibri" w:cs="Calibri" w:eastAsia="Calibri" w:hAnsi="Calibri"/>
          <w:color w:val="1C1917"/>
          <w:sz w:val="22"/>
          <w:szCs w:val="22"/>
          <w:shd w:fill="E8E6E1" w:color="auto" w:val="clear"/>
        </w:rPr>
        <w:t xml:space="preserve">[Fx parkeringspladser nr., depotrum, fællesarealer]</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Arealet bruges ofte til at fordele driftsudgifter og vurdere lejen. Angiv målemetoden, så arealet ikke senere kan anfægtes.</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Anvendelse</w:t>
      </w:r>
    </w:p>
    <w:p>
      <w:pPr>
        <w:spacing w:after="120" w:line="288" w:lineRule="auto"/>
      </w:pPr>
      <w:r>
        <w:rPr>
          <w:rFonts w:ascii="Calibri" w:cs="Calibri" w:eastAsia="Calibri" w:hAnsi="Calibri"/>
          <w:color w:val="1C1917"/>
          <w:sz w:val="22"/>
          <w:szCs w:val="22"/>
        </w:rPr>
        <w:t xml:space="preserve">Det lejede må kun bruges til: </w:t>
      </w:r>
      <w:r>
        <w:rPr>
          <w:rFonts w:ascii="Calibri" w:cs="Calibri" w:eastAsia="Calibri" w:hAnsi="Calibri"/>
          <w:color w:val="1C1917"/>
          <w:sz w:val="22"/>
          <w:szCs w:val="22"/>
          <w:shd w:fill="E8E6E1" w:color="auto" w:val="clear"/>
        </w:rPr>
        <w:t xml:space="preserve">[Formål, fx kontor, butik med salg af (varer), lager]</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Udlejer forpligter sig til ikke at udleje andre lokaler i ejendommen til virksomhed, der konkurrerer med lejers: </w:t>
      </w:r>
      <w:r>
        <w:rPr>
          <w:rFonts w:ascii="Calibri" w:cs="Calibri" w:eastAsia="Calibri" w:hAnsi="Calibri"/>
          <w:color w:val="1C1917"/>
          <w:sz w:val="22"/>
          <w:szCs w:val="22"/>
          <w:shd w:fill="E8E6E1" w:color="auto" w:val="clear"/>
        </w:rPr>
        <w:t xml:space="preserve">[Beskrivelse af branche]</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Lejer må ikke uden udlejers samtykke bruge lokalerne til andet end det aftalte (erhvervslejeloven § 34, stk. 1). Er formålet beskrevet snævert, kan det begrænse muligheden for senere afståelse. Aftal, hvem der skal sikre, at offentlige tilladelser til den planlagte brug foreligger.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Lejeforholdets begyndelse og lejemålets stand</w:t>
      </w:r>
    </w:p>
    <w:p>
      <w:pPr>
        <w:spacing w:after="120" w:line="288" w:lineRule="auto"/>
      </w:pPr>
      <w:r>
        <w:rPr>
          <w:rFonts w:ascii="Calibri" w:cs="Calibri" w:eastAsia="Calibri" w:hAnsi="Calibri"/>
          <w:color w:val="1C1917"/>
          <w:sz w:val="22"/>
          <w:szCs w:val="22"/>
        </w:rPr>
        <w:t xml:space="preserve">Lejeforholdet begynder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Lejer kan disponere over lokalerne fra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Det lejede overtages:</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I den stand, det er i ved lejers besigtigelse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Efter udlejers ombygning som beskrevet i bilag </w:t>
      </w:r>
      <w:r>
        <w:rPr>
          <w:rFonts w:ascii="Calibri" w:cs="Calibri" w:eastAsia="Calibri" w:hAnsi="Calibri"/>
          <w:color w:val="1C1917"/>
          <w:sz w:val="22"/>
          <w:szCs w:val="22"/>
          <w:shd w:fill="E8E6E1" w:color="auto" w:val="clear"/>
        </w:rPr>
        <w:t xml:space="preserve">[Nr.]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Parterne udarbejder i fællesskab en indflytningsrapport, som vedlægges som bilag </w:t>
      </w:r>
      <w:r>
        <w:rPr>
          <w:rFonts w:ascii="Calibri" w:cs="Calibri" w:eastAsia="Calibri" w:hAnsi="Calibri"/>
          <w:color w:val="1C1917"/>
          <w:sz w:val="22"/>
          <w:szCs w:val="22"/>
          <w:shd w:fill="E8E6E1" w:color="auto" w:val="clear"/>
        </w:rPr>
        <w:t xml:space="preserve">[Nr.]</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Lejer skal give udlejer besked om mangler ved overtagelsen senest 2 uger efter lejeforholdets begyndelse for ikke at miste retten til at gøre dem gældende (erhvervslejeloven § 21) - medmindre manglen ikke kunne opdages ved almindelig agtpågivenhed. En indflytningsrapport med fotos er det bedste bevis for standen - også ved fraflytning.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Leje og moms</w:t>
      </w:r>
    </w:p>
    <w:p>
      <w:pPr>
        <w:spacing w:after="120" w:line="288" w:lineRule="auto"/>
      </w:pPr>
      <w:r>
        <w:rPr>
          <w:rFonts w:ascii="Calibri" w:cs="Calibri" w:eastAsia="Calibri" w:hAnsi="Calibri"/>
          <w:color w:val="1C1917"/>
          <w:sz w:val="22"/>
          <w:szCs w:val="22"/>
        </w:rPr>
        <w:t xml:space="preserve">Den årlige leje udgør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ekskl. moms.</w:t>
      </w:r>
    </w:p>
    <w:p>
      <w:pPr>
        <w:spacing w:after="120" w:line="288" w:lineRule="auto"/>
      </w:pPr>
      <w:r>
        <w:rPr>
          <w:rFonts w:ascii="Calibri" w:cs="Calibri" w:eastAsia="Calibri" w:hAnsi="Calibri"/>
          <w:color w:val="1C1917"/>
          <w:sz w:val="22"/>
          <w:szCs w:val="22"/>
        </w:rPr>
        <w:t xml:space="preserve">Lejen betales </w:t>
      </w:r>
      <w:r>
        <w:rPr>
          <w:rFonts w:ascii="Calibri" w:cs="Calibri" w:eastAsia="Calibri" w:hAnsi="Calibri"/>
          <w:color w:val="1C1917"/>
          <w:sz w:val="22"/>
          <w:szCs w:val="22"/>
          <w:shd w:fill="E8E6E1" w:color="auto" w:val="clear"/>
        </w:rPr>
        <w:t xml:space="preserve">[månedsvis / kvartalsvis]</w:t>
      </w:r>
      <w:r>
        <w:rPr>
          <w:rFonts w:ascii="Calibri" w:cs="Calibri" w:eastAsia="Calibri" w:hAnsi="Calibri"/>
          <w:color w:val="1C1917"/>
          <w:sz w:val="22"/>
          <w:szCs w:val="22"/>
        </w:rPr>
        <w:t xml:space="preserve"> forud den </w:t>
      </w:r>
      <w:r>
        <w:rPr>
          <w:rFonts w:ascii="Calibri" w:cs="Calibri" w:eastAsia="Calibri" w:hAnsi="Calibri"/>
          <w:color w:val="1C1917"/>
          <w:sz w:val="22"/>
          <w:szCs w:val="22"/>
          <w:shd w:fill="E8E6E1" w:color="auto" w:val="clear"/>
        </w:rPr>
        <w:t xml:space="preserve">[Dag]</w:t>
      </w:r>
      <w:r>
        <w:rPr>
          <w:rFonts w:ascii="Calibri" w:cs="Calibri" w:eastAsia="Calibri" w:hAnsi="Calibri"/>
          <w:color w:val="1C1917"/>
          <w:sz w:val="22"/>
          <w:szCs w:val="22"/>
        </w:rPr>
        <w:t xml:space="preserve"> i </w:t>
      </w:r>
      <w:r>
        <w:rPr>
          <w:rFonts w:ascii="Calibri" w:cs="Calibri" w:eastAsia="Calibri" w:hAnsi="Calibri"/>
          <w:color w:val="1C1917"/>
          <w:sz w:val="22"/>
          <w:szCs w:val="22"/>
          <w:shd w:fill="E8E6E1" w:color="auto" w:val="clear"/>
        </w:rPr>
        <w:t xml:space="preserve">[måneden / kvartalets første måned]</w:t>
      </w:r>
      <w:r>
        <w:rPr>
          <w:rFonts w:ascii="Calibri" w:cs="Calibri" w:eastAsia="Calibri" w:hAnsi="Calibri"/>
          <w:color w:val="1C1917"/>
          <w:sz w:val="22"/>
          <w:szCs w:val="22"/>
        </w:rPr>
        <w:t xml:space="preserve"> til konto </w:t>
      </w:r>
      <w:r>
        <w:rPr>
          <w:rFonts w:ascii="Calibri" w:cs="Calibri" w:eastAsia="Calibri" w:hAnsi="Calibri"/>
          <w:color w:val="1C1917"/>
          <w:sz w:val="22"/>
          <w:szCs w:val="22"/>
          <w:shd w:fill="E8E6E1" w:color="auto" w:val="clear"/>
        </w:rPr>
        <w:t xml:space="preserve">[Reg.nr. og kontonr.]</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Udlejer er frivilligt registreret for moms af udlejningen. Der betales moms af leje og driftsudgifter.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Lejen er ikke momspligtig.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Udlejning af fast ejendom er som udgangspunkt momsfri, men udlejer kan lade sig registrere frivilligt (momsloven § 51). Er lejer ikke selv momsregistreret, bliver lejen reelt 25 % dyrere. Aftal også, hvad der sker, hvis lejers brug af lokalerne får udlejer til at miste momsfradrag.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Lejeregulering</w:t>
      </w:r>
    </w:p>
    <w:p>
      <w:pPr>
        <w:keepNext/>
        <w:spacing w:after="80" w:before="220"/>
      </w:pPr>
      <w:r>
        <w:rPr>
          <w:rFonts w:ascii="Calibri" w:cs="Calibri" w:eastAsia="Calibri" w:hAnsi="Calibri"/>
          <w:b/>
          <w:bCs/>
          <w:color w:val="28394A"/>
          <w:sz w:val="22"/>
          <w:szCs w:val="22"/>
        </w:rPr>
        <w:t xml:space="preserve">Løbende regulering</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Lejen reguleres hvert år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med udviklingen i nettoprisindekset fra </w:t>
      </w:r>
      <w:r>
        <w:rPr>
          <w:rFonts w:ascii="Calibri" w:cs="Calibri" w:eastAsia="Calibri" w:hAnsi="Calibri"/>
          <w:color w:val="1C1917"/>
          <w:sz w:val="22"/>
          <w:szCs w:val="22"/>
          <w:shd w:fill="E8E6E1" w:color="auto" w:val="clear"/>
        </w:rPr>
        <w:t xml:space="preserve">[Måned]</w:t>
      </w:r>
      <w:r>
        <w:rPr>
          <w:rFonts w:ascii="Calibri" w:cs="Calibri" w:eastAsia="Calibri" w:hAnsi="Calibri"/>
          <w:color w:val="1C1917"/>
          <w:sz w:val="22"/>
          <w:szCs w:val="22"/>
        </w:rPr>
        <w:t xml:space="preserve"> året før til </w:t>
      </w:r>
      <w:r>
        <w:rPr>
          <w:rFonts w:ascii="Calibri" w:cs="Calibri" w:eastAsia="Calibri" w:hAnsi="Calibri"/>
          <w:color w:val="1C1917"/>
          <w:sz w:val="22"/>
          <w:szCs w:val="22"/>
          <w:shd w:fill="E8E6E1" w:color="auto" w:val="clear"/>
        </w:rPr>
        <w:t xml:space="preserve">[Måned]</w:t>
      </w:r>
      <w:r>
        <w:rPr>
          <w:rFonts w:ascii="Calibri" w:cs="Calibri" w:eastAsia="Calibri" w:hAnsi="Calibri"/>
          <w:color w:val="1C1917"/>
          <w:sz w:val="22"/>
          <w:szCs w:val="22"/>
        </w:rPr>
        <w:t xml:space="preserve"> i reguleringsåret, dog med mindst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 og højst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 pr. år. Første regulering sker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Lejen stiger trinvis: </w:t>
      </w:r>
      <w:r>
        <w:rPr>
          <w:rFonts w:ascii="Calibri" w:cs="Calibri" w:eastAsia="Calibri" w:hAnsi="Calibri"/>
          <w:color w:val="1C1917"/>
          <w:sz w:val="22"/>
          <w:szCs w:val="22"/>
          <w:shd w:fill="E8E6E1" w:color="auto" w:val="clear"/>
        </w:rPr>
        <w:t xml:space="preserve">[Dato og ny årlig leje for hvert trin]</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Lejen reguleres ikke løbende.</w:t>
      </w:r>
    </w:p>
    <w:p>
      <w:pPr>
        <w:keepNext/>
        <w:spacing w:after="80" w:before="220"/>
      </w:pPr>
      <w:r>
        <w:rPr>
          <w:rFonts w:ascii="Calibri" w:cs="Calibri" w:eastAsia="Calibri" w:hAnsi="Calibri"/>
          <w:b/>
          <w:bCs/>
          <w:color w:val="28394A"/>
          <w:sz w:val="22"/>
          <w:szCs w:val="22"/>
        </w:rPr>
        <w:t xml:space="preserve">Regulering til markedsleje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Erhvervslejelovens regler om regulering til markedsleje (§ 13) gælder.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Erhvervslejelovens § 13 om regulering til markedsleje fraviges for begge parter frem til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Efter § 13 kan hver part kræve lejen reguleret til markedslejen, hvis den er væsentligt lavere eller højere - tidligst 4 år efter lejeforholdets begyndelse eller seneste regulering. Reguleringen indfases over 4 år, og den gælder også i en uopsigelig periode (§ 13, stk. 4-5). En indeksklausul alene udelukker ikke § 13 - det skal stå udtrykkeligt, hvis § 13 skal fraviges.</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En aftale om, at udlejer kan opsige for at ændre lejevilkårene (§ 14), kan kun bruges i lejemål, der ikke er beskyttet efter § 62, og kræver rådgivning.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Driftsudgifter</w:t>
      </w:r>
    </w:p>
    <w:p>
      <w:pPr>
        <w:spacing w:after="120" w:line="288" w:lineRule="auto"/>
      </w:pPr>
      <w:r>
        <w:rPr>
          <w:rFonts w:ascii="Calibri" w:cs="Calibri" w:eastAsia="Calibri" w:hAnsi="Calibri"/>
          <w:color w:val="1C1917"/>
          <w:sz w:val="22"/>
          <w:szCs w:val="22"/>
        </w:rPr>
        <w:t xml:space="preserve">Ud over lejen betaler lejer sin andel af følgende driftsudgifter for ejendommen. Beløbene er udlejers skøn for det første år:</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5442"/>
        <w:gridCol w:w="3628"/>
      </w:tblGrid>
      <w:tr>
        <w:trPr>
          <w:tblHeader/>
        </w:trPr>
        <w:tc>
          <w:tcPr>
            <w:tcW w:type="dxa" w:w="5442"/>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Udgiftsart</w:t>
            </w:r>
          </w:p>
        </w:tc>
        <w:tc>
          <w:tcPr>
            <w:tcW w:type="dxa" w:w="3628"/>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Anslået beløb pr. år for lejemålet (kr. ekskl. moms)</w:t>
            </w:r>
          </w:p>
        </w:tc>
      </w:tr>
      <w:tr>
        <w:trPr>
          <w:cantSplit/>
        </w:trPr>
        <w:tc>
          <w:tcPr>
            <w:tcW w:type="dxa" w:w="544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Ejendomsskatter og offentlige afgifter</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544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Forsikringer</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544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Renovation</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544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Vicevært og renholdelse</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544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Udvendig vedligeholdelse</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544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Administration</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544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I alt</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544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544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5442"/>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362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spacing w:after="120" w:line="288" w:lineRule="auto"/>
      </w:pPr>
      <w:r>
        <w:rPr>
          <w:rFonts w:ascii="Calibri" w:cs="Calibri" w:eastAsia="Calibri" w:hAnsi="Calibri"/>
          <w:color w:val="1C1917"/>
          <w:sz w:val="22"/>
          <w:szCs w:val="22"/>
        </w:rPr>
        <w:t xml:space="preserve">Udgifterne fordeles efter </w:t>
      </w:r>
      <w:r>
        <w:rPr>
          <w:rFonts w:ascii="Calibri" w:cs="Calibri" w:eastAsia="Calibri" w:hAnsi="Calibri"/>
          <w:color w:val="1C1917"/>
          <w:sz w:val="22"/>
          <w:szCs w:val="22"/>
          <w:shd w:fill="E8E6E1" w:color="auto" w:val="clear"/>
        </w:rPr>
        <w:t xml:space="preserve">[Fx lejemålets andel af ejendommens samlede areal: (Antal) %]</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Lejer betaler et månedligt/kvartalsvist acontobeløb på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ekskl. moms. Udlejer udarbejder årligt regnskab for regnskabsåret </w:t>
      </w:r>
      <w:r>
        <w:rPr>
          <w:rFonts w:ascii="Calibri" w:cs="Calibri" w:eastAsia="Calibri" w:hAnsi="Calibri"/>
          <w:color w:val="1C1917"/>
          <w:sz w:val="22"/>
          <w:szCs w:val="22"/>
          <w:shd w:fill="E8E6E1" w:color="auto" w:val="clear"/>
        </w:rPr>
        <w:t xml:space="preserve">[Fra dato - til dato]</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Skatter og afgifter er indeholdt med de satser, der gjaldt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Senere stigninger eller fald i skatter og afgifter fordeles efter samme nøgle.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Udgifter, der ikke står i kontrakten med art og anslået beløb, kan ikke opkræves ud over lejen (erhvervslejeloven § 5, stk. 2). Datoen for skatter og afgifter bruges som udgangspunkt ved senere ændringer (§ 5, stk. 4). Står udgifter som "inkluderet i lejen", kan de ikke opkræves særskilt.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Varme, vand, el og køling</w:t>
      </w:r>
    </w:p>
    <w:p>
      <w:pPr>
        <w:spacing w:after="120" w:line="288" w:lineRule="auto"/>
      </w:pPr>
      <w:r>
        <w:rPr>
          <w:rFonts w:ascii="Calibri" w:cs="Calibri" w:eastAsia="Calibri" w:hAnsi="Calibri"/>
          <w:color w:val="1C1917"/>
          <w:sz w:val="22"/>
          <w:szCs w:val="22"/>
        </w:rPr>
        <w:t xml:space="preserve">Følgende forbrug betales efter særskilt forbrugsregnskab med regnskabsår </w:t>
      </w:r>
      <w:r>
        <w:rPr>
          <w:rFonts w:ascii="Calibri" w:cs="Calibri" w:eastAsia="Calibri" w:hAnsi="Calibri"/>
          <w:color w:val="1C1917"/>
          <w:sz w:val="22"/>
          <w:szCs w:val="22"/>
          <w:shd w:fill="E8E6E1" w:color="auto" w:val="clear"/>
        </w:rPr>
        <w:t xml:space="preserve">[Fra dato - til dato]</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Varme - aconto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pr. </w:t>
      </w:r>
      <w:r>
        <w:rPr>
          <w:rFonts w:ascii="Calibri" w:cs="Calibri" w:eastAsia="Calibri" w:hAnsi="Calibri"/>
          <w:color w:val="1C1917"/>
          <w:sz w:val="22"/>
          <w:szCs w:val="22"/>
          <w:shd w:fill="E8E6E1" w:color="auto" w:val="clear"/>
        </w:rPr>
        <w:t xml:space="preserve">[måned/kvartal]</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Vand - aconto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pr. </w:t>
      </w:r>
      <w:r>
        <w:rPr>
          <w:rFonts w:ascii="Calibri" w:cs="Calibri" w:eastAsia="Calibri" w:hAnsi="Calibri"/>
          <w:color w:val="1C1917"/>
          <w:sz w:val="22"/>
          <w:szCs w:val="22"/>
          <w:shd w:fill="E8E6E1" w:color="auto" w:val="clear"/>
        </w:rPr>
        <w:t xml:space="preserve">[måned/kvartal]</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El - lejer har egen måler og aftale med elleverandør.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Køling - aconto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pr. </w:t>
      </w:r>
      <w:r>
        <w:rPr>
          <w:rFonts w:ascii="Calibri" w:cs="Calibri" w:eastAsia="Calibri" w:hAnsi="Calibri"/>
          <w:color w:val="1C1917"/>
          <w:sz w:val="22"/>
          <w:szCs w:val="22"/>
          <w:shd w:fill="E8E6E1" w:color="auto" w:val="clear"/>
        </w:rPr>
        <w:t xml:space="preserve">[måned/kvartal]</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Angiv tydeligt, hvilke forbrugsudgifter der afregnes efter forbrug, og hvilke der indgår i driftsudgifterne (erhvervslejeloven § 5, stk. 3). Samme udgift må ikke opkræves to gange.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Depositum, forudbetalt leje og garanti</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Depositum</w:t>
      </w:r>
      <w:r>
        <w:t xml:space="preserve">	</w:t>
      </w:r>
      <w:r>
        <w:rPr>
          <w:rFonts w:ascii="Calibri" w:cs="Calibri" w:eastAsia="Calibri" w:hAnsi="Calibri"/>
          <w:color w:val="1C1917"/>
          <w:sz w:val="22"/>
          <w:szCs w:val="22"/>
        </w:rPr>
        <w:t xml:space="preserve">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svarende til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måneders leje</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Forudbetalt leje</w:t>
      </w:r>
      <w:r>
        <w:t xml:space="preserve">	</w:t>
      </w:r>
      <w:r>
        <w:rPr>
          <w:rFonts w:ascii="Calibri" w:cs="Calibri" w:eastAsia="Calibri" w:hAnsi="Calibri"/>
          <w:color w:val="1C1917"/>
          <w:sz w:val="22"/>
          <w:szCs w:val="22"/>
        </w:rPr>
        <w:t xml:space="preserve">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svarende til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måneders leje</w:t>
      </w:r>
    </w:p>
    <w:p>
      <w:pPr>
        <w:spacing w:after="120" w:line="288" w:lineRule="auto"/>
      </w:pPr>
      <w:r>
        <w:rPr>
          <w:rFonts w:ascii="Calibri" w:cs="Calibri" w:eastAsia="Calibri" w:hAnsi="Calibri"/>
          <w:color w:val="1C1917"/>
          <w:sz w:val="22"/>
          <w:szCs w:val="22"/>
        </w:rPr>
        <w:t xml:space="preserve">Depositum stilles som:</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Kontant indbetaling senest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Anfordringsgaranti fra et pengeinstitut i den form, der fremgår af bilag </w:t>
      </w:r>
      <w:r>
        <w:rPr>
          <w:rFonts w:ascii="Calibri" w:cs="Calibri" w:eastAsia="Calibri" w:hAnsi="Calibri"/>
          <w:color w:val="1C1917"/>
          <w:sz w:val="22"/>
          <w:szCs w:val="22"/>
          <w:shd w:fill="E8E6E1" w:color="auto" w:val="clear"/>
        </w:rPr>
        <w:t xml:space="preserve">[Nr.]</w:t>
      </w:r>
      <w:r>
        <w:rPr>
          <w:rFonts w:ascii="Calibri" w:cs="Calibri" w:eastAsia="Calibri" w:hAnsi="Calibri"/>
          <w:color w:val="1C1917"/>
          <w:sz w:val="22"/>
          <w:szCs w:val="22"/>
        </w:rPr>
        <w:t xml:space="preserve">, senest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Depositum og garanti reguleres, når lejen reguleres.</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Aftaler om depositum og forudbetalt leje er kun beskyttet over for en ny ejer og ejendommens kreditorer uden tinglysning, så længe de tilsammen ikke overstiger et halvt års leje (erhvervslejeloven § 6, stk. 1). Lejer bør overveje tinglysning ved større beløb. Det samme gælder aftalt uopsigelighed og andre særlige rettigheder.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Vedligeholdelse</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6803"/>
        <w:gridCol w:w="1134"/>
        <w:gridCol w:w="1134"/>
      </w:tblGrid>
      <w:tr>
        <w:trPr>
          <w:tblHeader/>
        </w:trPr>
        <w:tc>
          <w:tcPr>
            <w:tcW w:type="dxa" w:w="6803"/>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Område</w:t>
            </w:r>
          </w:p>
        </w:tc>
        <w:tc>
          <w:tcPr>
            <w:tcW w:type="dxa" w:w="113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Udlejer</w:t>
            </w:r>
          </w:p>
        </w:tc>
        <w:tc>
          <w:tcPr>
            <w:tcW w:type="dxa" w:w="113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Lejer</w:t>
            </w:r>
          </w:p>
        </w:tc>
      </w:tr>
      <w:tr>
        <w:trPr>
          <w:cantSplit/>
        </w:trPr>
        <w:tc>
          <w:tcPr>
            <w:tcW w:type="dxa" w:w="680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Indvendig vedligeholdelse (maling, tapet, gulvbehandling)</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w:t>
            </w:r>
          </w:p>
        </w:tc>
      </w:tr>
      <w:tr>
        <w:trPr>
          <w:cantSplit/>
        </w:trPr>
        <w:tc>
          <w:tcPr>
            <w:tcW w:type="dxa" w:w="680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Udvendig vedligeholdelse (tag, facade, vinduer, fælles installationer)</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w:t>
            </w:r>
          </w:p>
        </w:tc>
      </w:tr>
      <w:tr>
        <w:trPr>
          <w:cantSplit/>
        </w:trPr>
        <w:tc>
          <w:tcPr>
            <w:tcW w:type="dxa" w:w="680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Tekniske installationer i lejemålet (varme, ventilation, el)</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w:t>
            </w:r>
          </w:p>
        </w:tc>
      </w:tr>
      <w:tr>
        <w:trPr>
          <w:cantSplit/>
        </w:trPr>
        <w:tc>
          <w:tcPr>
            <w:tcW w:type="dxa" w:w="680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Udskiftning af installationer, der ikke kan repareres</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w:t>
            </w:r>
          </w:p>
        </w:tc>
      </w:tr>
      <w:tr>
        <w:trPr>
          <w:cantSplit/>
        </w:trPr>
        <w:tc>
          <w:tcPr>
            <w:tcW w:type="dxa" w:w="680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Låse og nøgler</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w:t>
            </w:r>
          </w:p>
        </w:tc>
      </w:tr>
      <w:tr>
        <w:trPr>
          <w:cantSplit/>
        </w:trPr>
        <w:tc>
          <w:tcPr>
            <w:tcW w:type="dxa" w:w="6803"/>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[Andet]</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w:t>
            </w:r>
          </w:p>
        </w:tc>
        <w:tc>
          <w:tcPr>
            <w:tcW w:type="dxa" w:w="113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w:t>
            </w:r>
          </w:p>
        </w:tc>
      </w:tr>
    </w:tbl>
    <w:p>
      <w:pPr>
        <w:spacing w:after="16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Sæt ét kryds pr. linje. Det, der ikke er aftalt, følger af loven, hvor udgangspunktet er, at udlejer vedligeholder ejendommen og det lejede, herunder installationer og indvendig maling og gulvbehandling (erhvervslejeloven § 16). Aftal udtrykkeligt, om pligten også omfatter udskiftning af fx tag og tekniske anlæg.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Lejers ændringer og retablering</w:t>
      </w:r>
    </w:p>
    <w:p>
      <w:pPr>
        <w:spacing w:after="120" w:line="288" w:lineRule="auto"/>
      </w:pPr>
      <w:r>
        <w:rPr>
          <w:rFonts w:ascii="Calibri" w:cs="Calibri" w:eastAsia="Calibri" w:hAnsi="Calibri"/>
          <w:color w:val="1C1917"/>
          <w:sz w:val="22"/>
          <w:szCs w:val="22"/>
        </w:rPr>
        <w:t xml:space="preserve">Lejer må ikke foretage bygningsmæssige ændringer, installationer eller indretning uden udlejers forudgående skriftlige samtykke.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Udlejer kan ved fraflytning kræve, at lejer fjerner sine ændringer og retablerer lejemålet i den stand, det var i ved overtagelsen.</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Lejer skal ikke retablere ændringer, som udlejer har godkendt skriftligt.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Har udlejer givet samtykke til en ændring, kan udlejer kun kræve retablering, hvis udlejer har taget forbehold om det (erhvervslejeloven § 75, stk. 2). Tag derfor forbeholdet både her og i det enkelte samtykke. Lejer må kun fjerne sine forbedringer, hvis lejemålet samtidig bringes tilbage i den oprindelige stand (§ 75, stk. 1).</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Afståelse og fremleje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Erhvervslejelovens regler om afståelse og fremleje gælder.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Lejer har desuden ret til at afstå lejemålet til </w:t>
      </w:r>
      <w:r>
        <w:rPr>
          <w:rFonts w:ascii="Calibri" w:cs="Calibri" w:eastAsia="Calibri" w:hAnsi="Calibri"/>
          <w:color w:val="1C1917"/>
          <w:sz w:val="22"/>
          <w:szCs w:val="22"/>
          <w:shd w:fill="E8E6E1" w:color="auto" w:val="clear"/>
        </w:rPr>
        <w:t xml:space="preserve">[Fx et selskab i samme koncern]</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Lejer har ikke ret til at afstå lejemålet. Fremleje kræver udlejers skriftlige samtykke.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Efter erhvervslejeloven § 55 kan lejer afstå lejemålet til en ny lejer i samme branche, medmindre udlejer har vægtige grunde til at afvise (fx den nye lejers økonomi). Fremleje kræver udlejers samtykke, medmindre andet er aftalt (§ 34, stk. 2). Fraviges afståelsesretten, kan det gøre virksomheden sværere at sælge.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Opsigelse og uopsigelighed</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Lejemålet løber, til det opsiges. Lejer kan opsige med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måneders varsel til den første i en måned. Udlejer kan opsige efter erhvervslejelovens regler.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Lejemålet er tidsbegrænset og ophører uden opsigelse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Begrundelse i udlejers forhold: </w:t>
      </w:r>
      <w:r>
        <w:rPr>
          <w:rFonts w:ascii="Calibri" w:cs="Calibri" w:eastAsia="Calibri" w:hAnsi="Calibri"/>
          <w:color w:val="1C1917"/>
          <w:sz w:val="22"/>
          <w:szCs w:val="22"/>
          <w:shd w:fill="E8E6E1" w:color="auto" w:val="clear"/>
        </w:rPr>
        <w:t xml:space="preserve">[Begrundelse]</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Uopsigelighed: Lejemålet kan ikke opsiges af udlejer før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og ikke af lejer før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Udlejer kan kun opsige af de grunde, der står i erhvervslejeloven § 61, og reglerne kan ikke fraviges til skade for lejeren (§ 68). Uopsigelighed binder kun en ny ejer, hvis den er tinglyst (§ 6).</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Et tidsbegrænset lejemål kan ikke opsiges i perioden, medmindre det er aftalt. Tidsbegrænsningen skal være tilstrækkeligt begrundet i udlejers forhold, ellers kan den tilsidesættes. Bliver lejer boende mere end 3 måneder efter udløbet, uden at udlejer har krævet fraflytning, fortsætter lejemålet uden tidsbegrænsning (§ 63).</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Fraflytning</w:t>
      </w:r>
    </w:p>
    <w:p>
      <w:pPr>
        <w:spacing w:after="120" w:line="288" w:lineRule="auto"/>
      </w:pPr>
      <w:r>
        <w:rPr>
          <w:rFonts w:ascii="Calibri" w:cs="Calibri" w:eastAsia="Calibri" w:hAnsi="Calibri"/>
          <w:color w:val="1C1917"/>
          <w:sz w:val="22"/>
          <w:szCs w:val="22"/>
        </w:rPr>
        <w:t xml:space="preserve">Ved fraflytning afleverer lejer det lejede i samme stand som ved overtagelsen, bortset fra almindeligt slid og ælde og ændringer, der ikke skal retableres. Parterne holder fraflytningssyn sammen senest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efter fraflytningen, og lejer indkaldes skriftligt med mindst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dages varsel. Der udarbejdes en fraflytningsrapport, som begge parter får.</w:t>
      </w:r>
    </w:p>
    <w:p>
      <w:pPr>
        <w:spacing w:after="120" w:line="288" w:lineRule="auto"/>
      </w:pPr>
      <w:r>
        <w:rPr>
          <w:rFonts w:ascii="Calibri" w:cs="Calibri" w:eastAsia="Calibri" w:hAnsi="Calibri"/>
          <w:color w:val="1C1917"/>
          <w:sz w:val="22"/>
          <w:szCs w:val="22"/>
        </w:rPr>
        <w:t xml:space="preserve">Lejer afleverer alle nøgler, adgangskort og koder senest den dag, lejeforholdet ophører.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Lejemålet skal være fraflyttet senest kl. 12 på fraflytningsdagen. Udlejer kan ikke gøre krav gældende om standen ved fraflytning, hvis der er gået mere end 4 uger fra fraflytningsdagen - medmindre manglen ikke kunne opdages ved almindelig agtpågivenhed, eller lejer har handlet svigagtigt (erhvervslejeloven § 74). Hold derfor syn hurtigt, og sammenhold standen med indflytningsrapporten.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Skilte, forsikring og øvrige forhold (valgfrit)</w:t>
      </w:r>
    </w:p>
    <w:p>
      <w:pPr>
        <w:spacing w:after="120" w:line="288" w:lineRule="auto"/>
      </w:pPr>
      <w:r>
        <w:rPr>
          <w:rFonts w:ascii="Calibri" w:cs="Calibri" w:eastAsia="Calibri" w:hAnsi="Calibri"/>
          <w:color w:val="1C1917"/>
          <w:sz w:val="22"/>
          <w:szCs w:val="22"/>
        </w:rPr>
        <w:t xml:space="preserve">Skiltning: </w:t>
      </w:r>
      <w:r>
        <w:rPr>
          <w:rFonts w:ascii="Calibri" w:cs="Calibri" w:eastAsia="Calibri" w:hAnsi="Calibri"/>
          <w:color w:val="1C1917"/>
          <w:sz w:val="22"/>
          <w:szCs w:val="22"/>
          <w:shd w:fill="E8E6E1" w:color="auto" w:val="clear"/>
        </w:rPr>
        <w:t xml:space="preserve">[Placering og størrelse, og hvem der betaler]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Lejer tegner forsikring for eget inventar, varelager og glas/sanitet: </w:t>
      </w:r>
      <w:r>
        <w:rPr>
          <w:rFonts w:ascii="Calibri" w:cs="Calibri" w:eastAsia="Calibri" w:hAnsi="Calibri"/>
          <w:color w:val="1C1917"/>
          <w:sz w:val="22"/>
          <w:szCs w:val="22"/>
          <w:shd w:fill="E8E6E1" w:color="auto" w:val="clear"/>
        </w:rPr>
        <w:t xml:space="preserve">[Ja/nej, nærmere krav]</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Deling af forbrugsdata og miljøoplysninger: </w:t>
      </w:r>
      <w:r>
        <w:rPr>
          <w:rFonts w:ascii="Calibri" w:cs="Calibri" w:eastAsia="Calibri" w:hAnsi="Calibri"/>
          <w:color w:val="1C1917"/>
          <w:sz w:val="22"/>
          <w:szCs w:val="22"/>
          <w:shd w:fill="E8E6E1" w:color="auto" w:val="clear"/>
        </w:rPr>
        <w:t xml:space="preserve">[Fx lejer giver udlejer adgang til forbrugsdata for el og varme]</w:t>
      </w:r>
      <w:r>
        <w:rPr>
          <w:rFonts w:ascii="Calibri" w:cs="Calibri" w:eastAsia="Calibri" w:hAnsi="Calibri"/>
          <w:color w:val="1C1917"/>
          <w:sz w:val="22"/>
          <w:szCs w:val="22"/>
        </w:rPr>
        <w:t xml:space="preserv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Tvister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Tvister afgøres af de almindelige domstole.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Tvister afgøres ved voldgift efter </w:t>
      </w:r>
      <w:r>
        <w:rPr>
          <w:rFonts w:ascii="Calibri" w:cs="Calibri" w:eastAsia="Calibri" w:hAnsi="Calibri"/>
          <w:color w:val="1C1917"/>
          <w:sz w:val="22"/>
          <w:szCs w:val="22"/>
          <w:shd w:fill="E8E6E1" w:color="auto" w:val="clear"/>
        </w:rPr>
        <w:t xml:space="preserve">[Regler, fx Voldgiftsinstituttets regler]</w:t>
      </w:r>
      <w:r>
        <w:rPr>
          <w:rFonts w:ascii="Calibri" w:cs="Calibri" w:eastAsia="Calibri" w:hAnsi="Calibri"/>
          <w:color w:val="1C1917"/>
          <w:sz w:val="22"/>
          <w:szCs w:val="22"/>
        </w:rPr>
        <w:t xml:space="preserve"> med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voldgiftsdommer(e).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Parterne kan aftale, at tvister afgøres ved voldgift (erhvervslejeloven § 77). Voldgift er fortroligt, men ofte dyrere end domstolene ved mindre sager.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Særlige vilkår</w:t>
      </w:r>
    </w:p>
    <w:p>
      <w:pPr>
        <w:spacing w:after="120" w:line="288" w:lineRule="auto"/>
      </w:pPr>
      <w:r>
        <w:rPr>
          <w:rFonts w:ascii="Calibri" w:cs="Calibri" w:eastAsia="Calibri" w:hAnsi="Calibri"/>
          <w:color w:val="1C1917"/>
          <w:sz w:val="22"/>
          <w:szCs w:val="22"/>
          <w:shd w:fill="E8E6E1" w:color="auto" w:val="clear"/>
        </w:rPr>
        <w:t xml:space="preserve">[Særlige vilkår, eller skriv "Ingen"]</w:t>
      </w:r>
      <w:r>
        <w:rPr>
          <w:rFonts w:ascii="Calibri" w:cs="Calibri" w:eastAsia="Calibri" w:hAnsi="Calibri"/>
          <w:color w:val="1C1917"/>
          <w:sz w:val="22"/>
          <w:szCs w:val="22"/>
        </w:rPr>
        <w:t xml:space="preserv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Bilag</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1296"/>
        <w:gridCol w:w="7774"/>
      </w:tblGrid>
      <w:tr>
        <w:trPr>
          <w:tblHeader/>
        </w:trPr>
        <w:tc>
          <w:tcPr>
            <w:tcW w:type="dxa" w:w="1296"/>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Bilag</w:t>
            </w:r>
          </w:p>
        </w:tc>
        <w:tc>
          <w:tcPr>
            <w:tcW w:type="dxa" w:w="777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Dokument</w:t>
            </w:r>
          </w:p>
        </w:tc>
      </w:tr>
      <w:tr>
        <w:trPr>
          <w:cantSplit/>
        </w:trPr>
        <w:tc>
          <w:tcPr>
            <w:tcW w:type="dxa" w:w="129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1</w:t>
            </w:r>
          </w:p>
        </w:tc>
        <w:tc>
          <w:tcPr>
            <w:tcW w:type="dxa" w:w="777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Plantegning</w:t>
            </w:r>
          </w:p>
        </w:tc>
      </w:tr>
      <w:tr>
        <w:trPr>
          <w:cantSplit/>
        </w:trPr>
        <w:tc>
          <w:tcPr>
            <w:tcW w:type="dxa" w:w="129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2</w:t>
            </w:r>
          </w:p>
        </w:tc>
        <w:tc>
          <w:tcPr>
            <w:tcW w:type="dxa" w:w="777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Indflytningsrapport</w:t>
            </w:r>
          </w:p>
        </w:tc>
      </w:tr>
      <w:tr>
        <w:trPr>
          <w:cantSplit/>
        </w:trPr>
        <w:tc>
          <w:tcPr>
            <w:tcW w:type="dxa" w:w="129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3</w:t>
            </w:r>
          </w:p>
        </w:tc>
        <w:tc>
          <w:tcPr>
            <w:tcW w:type="dxa" w:w="777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Driftsbudget</w:t>
            </w:r>
          </w:p>
        </w:tc>
      </w:tr>
      <w:tr>
        <w:trPr>
          <w:cantSplit/>
        </w:trPr>
        <w:tc>
          <w:tcPr>
            <w:tcW w:type="dxa" w:w="129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4</w:t>
            </w:r>
          </w:p>
        </w:tc>
        <w:tc>
          <w:tcPr>
            <w:tcW w:type="dxa" w:w="777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Garantiformular</w:t>
            </w:r>
          </w:p>
        </w:tc>
      </w:tr>
      <w:tr>
        <w:trPr>
          <w:cantSplit/>
        </w:trPr>
        <w:tc>
          <w:tcPr>
            <w:tcW w:type="dxa" w:w="129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5</w:t>
            </w:r>
          </w:p>
        </w:tc>
        <w:tc>
          <w:tcPr>
            <w:tcW w:type="dxa" w:w="777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Husorden / ordensreglement</w:t>
            </w:r>
          </w:p>
        </w:tc>
      </w:tr>
      <w:tr>
        <w:trPr>
          <w:cantSplit/>
        </w:trPr>
        <w:tc>
          <w:tcPr>
            <w:tcW w:type="dxa" w:w="129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777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29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777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Underskrifter</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For udlejer</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For lejer</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r>
    </w:tbl>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Garant (hvis relevant)</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tc>
      </w:tr>
    </w:tbl>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Kontrakten underskrives af de personer, der kan forpligte selskabet efter tegningsreglen i CVR-registeret.</w:t>
      </w:r>
    </w:p>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vlgmvmxla5lkul5xyt3gy">
      <w:r>
        <w:rPr>
          <w:rFonts w:ascii="Calibri" w:cs="Calibri" w:eastAsia="Calibri" w:hAnsi="Calibri"/>
          <w:color w:val="1E4FA3"/>
          <w:sz w:val="15"/>
          <w:szCs w:val="15"/>
          <w:u w:val="single"/>
        </w:rPr>
        <w:t xml:space="preserve">lovguiden.dk/praksisoversigt/fast-ejendom-og-bolig/erhvervslejekontrakt</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ho9mobk4pj6tczyffigr4">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cg8o4psrgntuysr8bpz-l">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jt9qfxkfwnfttleenvzeq" Type="http://schemas.openxmlformats.org/officeDocument/2006/relationships/hyperlink" Target="https://www.lovguiden.dk" TargetMode="External"/><Relationship Id="rIdnxv9m-bastvstetsxqrfl" Type="http://schemas.openxmlformats.org/officeDocument/2006/relationships/hyperlink" Target="https://www.lovguiden.dk/praksisoversigt/fast-ejendom-og-bolig/erhvervslejekontrakt" TargetMode="External"/><Relationship Id="rIdkcy4zknmmylm56rtifea3" Type="http://schemas.openxmlformats.org/officeDocument/2006/relationships/hyperlink" Target="https://www.lovguiden.dk/praksisoversigt/fast-ejendom-og-bolig/erhvervslejekontrakt"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vlgmvmxla5lkul5xyt3gy" Type="http://schemas.openxmlformats.org/officeDocument/2006/relationships/hyperlink" Target="https://www.lovguiden.dk/praksisoversigt/fast-ejendom-og-bolig/erhvervslejekontrakt"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ho9mobk4pj6tczyffigr4"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cg8o4psrgntuysr8bpz-l"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Lejekontrakt for erhvervslokaler</dc:title>
  <dc:creator>Lovguiden</dc:creator>
  <cp:lastModifiedBy>Un-named</cp:lastModifiedBy>
  <cp:revision>1</cp:revision>
  <dcterms:created xsi:type="dcterms:W3CDTF">2026-10-27T14:06:17.607Z</dcterms:created>
  <dcterms:modified xsi:type="dcterms:W3CDTF">2026-10-27T14:06:17.608Z</dcterms:modified>
</cp:coreProperties>
</file>

<file path=docProps/custom.xml><?xml version="1.0" encoding="utf-8"?>
<Properties xmlns="http://schemas.openxmlformats.org/officeDocument/2006/custom-properties" xmlns:vt="http://schemas.openxmlformats.org/officeDocument/2006/docPropsVTypes"/>
</file>