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drawing>
          <wp:inline distT="0" distB="0" distL="0" distR="0">
            <wp:extent cx="2190750" cy="600075"/>
            <wp:effectExtent t="0" r="0" b="0" l="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2190750" cy="600075"/>
                    </a:xfrm>
                    <a:prstGeom prst="rect">
                      <a:avLst/>
                    </a:prstGeom>
                  </pic:spPr>
                </pic:pic>
              </a:graphicData>
            </a:graphic>
          </wp:inline>
        </w:drawing>
      </w:r>
    </w:p>
    <w:p>
      <w:pPr>
        <w:spacing w:after="160" w:before="2200"/>
      </w:pPr>
      <w:r>
        <w:rPr>
          <w:rFonts w:ascii="Calibri" w:cs="Calibri" w:eastAsia="Calibri" w:hAnsi="Calibri"/>
          <w:b/>
          <w:bCs/>
          <w:color w:val="9A7032"/>
          <w:spacing w:val="40"/>
          <w:sz w:val="17"/>
          <w:szCs w:val="17"/>
        </w:rPr>
        <w:t xml:space="preserve">SKABELON  ·  ERHVERVSKONTRAKTER</w:t>
      </w:r>
    </w:p>
    <w:p>
      <w:pPr>
        <w:spacing w:after="120" w:before="60" w:line="300" w:lineRule="auto"/>
      </w:pPr>
      <w:r>
        <w:rPr>
          <w:rFonts w:ascii="Calibri" w:cs="Calibri" w:eastAsia="Calibri" w:hAnsi="Calibri"/>
          <w:b/>
          <w:bCs/>
          <w:color w:val="28394A"/>
          <w:sz w:val="64"/>
          <w:szCs w:val="64"/>
        </w:rPr>
        <w:t xml:space="preserve">Fortrolighedsaftale</w:t>
      </w:r>
    </w:p>
    <w:p>
      <w:pPr>
        <w:spacing w:after="200" w:line="288" w:lineRule="auto"/>
      </w:pPr>
      <w:r>
        <w:rPr>
          <w:rFonts w:ascii="Calibri" w:cs="Calibri" w:eastAsia="Calibri" w:hAnsi="Calibri"/>
          <w:color w:val="5F6B76"/>
          <w:sz w:val="26"/>
          <w:szCs w:val="26"/>
        </w:rPr>
        <w:t xml:space="preserve">mellem </w:t>
      </w:r>
      <w:r>
        <w:rPr>
          <w:rFonts w:ascii="Calibri" w:cs="Calibri" w:eastAsia="Calibri" w:hAnsi="Calibri"/>
          <w:color w:val="1C1917"/>
          <w:sz w:val="26"/>
          <w:szCs w:val="26"/>
          <w:shd w:fill="E8E6E1" w:color="auto" w:val="clear"/>
        </w:rPr>
        <w:t xml:space="preserve">[Part A]</w:t>
      </w:r>
      <w:r>
        <w:rPr>
          <w:rFonts w:ascii="Calibri" w:cs="Calibri" w:eastAsia="Calibri" w:hAnsi="Calibri"/>
          <w:color w:val="5F6B76"/>
          <w:sz w:val="26"/>
          <w:szCs w:val="26"/>
        </w:rPr>
        <w:t xml:space="preserve"> og </w:t>
      </w:r>
      <w:r>
        <w:rPr>
          <w:rFonts w:ascii="Calibri" w:cs="Calibri" w:eastAsia="Calibri" w:hAnsi="Calibri"/>
          <w:color w:val="1C1917"/>
          <w:sz w:val="26"/>
          <w:szCs w:val="26"/>
          <w:shd w:fill="E8E6E1" w:color="auto" w:val="clear"/>
        </w:rPr>
        <w:t xml:space="preserve">[Part B]</w:t>
      </w:r>
    </w:p>
    <w:p>
      <w:pPr>
        <w:pBdr>
          <w:bottom w:val="single" w:color="9A7032" w:sz="16"/>
        </w:pBdr>
        <w:spacing w:after="280"/>
        <w:ind w:right="7600"/>
      </w:pPr>
    </w:p>
    <w:p>
      <w:pPr>
        <w:spacing w:after="480" w:line="288" w:lineRule="auto"/>
      </w:pPr>
      <w:r>
        <w:rPr>
          <w:rFonts w:ascii="Calibri" w:cs="Calibri" w:eastAsia="Calibri" w:hAnsi="Calibri"/>
          <w:color w:val="3F3A33"/>
          <w:sz w:val="23"/>
          <w:szCs w:val="23"/>
        </w:rPr>
        <w:t xml:space="preserve">En fortrolighedsaftale (NDA) bruges, når virksomheder deler oplysninger før eller under et samarbejde - fx ved forhandling om et partnerskab, en investering, et køb af virksomhed eller en udviklingsopgave. Aftalen begrænser både, hvem oplysningerne må gives videre til, og hvad de må bruges til.</w:t>
      </w:r>
    </w:p>
    <w:tbl>
      <w:tblPr>
        <w:tblW w:type="dxa" w:w="9070"/>
        <w:tblBorders>
          <w:top w:val="single" w:color="28394A" w:sz="8"/>
          <w:left w:val="none" w:color="FFFFFF" w:sz="0"/>
          <w:bottom w:val="single" w:color="D9DDE1" w:sz="4"/>
          <w:right w:val="none" w:color="FFFFFF" w:sz="0"/>
          <w:insideH w:val="single" w:color="D9DDE1" w:sz="4"/>
          <w:insideV w:val="none" w:color="FFFFFF" w:sz="0"/>
        </w:tblBorders>
      </w:tblPr>
      <w:tblGrid>
        <w:gridCol w:w="2400"/>
        <w:gridCol w:w="6670"/>
      </w:tblGrid>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Udgivet af</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Lovguiden  ·  </w:t>
            </w:r>
            <w:hyperlink w:history="1" r:id="rIdq_u24cqtwglwfao-bhw-g">
              <w:r>
                <w:rPr>
                  <w:rFonts w:ascii="Calibri" w:cs="Calibri" w:eastAsia="Calibri" w:hAnsi="Calibri"/>
                  <w:color w:val="1E4FA3"/>
                  <w:sz w:val="20"/>
                  <w:szCs w:val="20"/>
                  <w:u w:val="single"/>
                </w:rPr>
                <w:t xml:space="preserve">www.lovguiden.dk</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Tilhørende guide</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hyperlink w:history="1" r:id="rIdvqp6n8y3xvjm8rn9hco-8">
              <w:r>
                <w:rPr>
                  <w:rFonts w:ascii="Calibri" w:cs="Calibri" w:eastAsia="Calibri" w:hAnsi="Calibri"/>
                  <w:color w:val="1E4FA3"/>
                  <w:sz w:val="20"/>
                  <w:szCs w:val="20"/>
                  <w:u w:val="single"/>
                </w:rPr>
                <w:t xml:space="preserve">lovguiden.dk/praksisoversigt/erhverv-og-kontrakter/fortrolighedsaftale-nda</w:t>
              </w:r>
            </w:hyperlink>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Version</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Oktober 2026</w:t>
            </w:r>
          </w:p>
        </w:tc>
      </w:tr>
      <w:tr>
        <w:tc>
          <w:tcPr>
            <w:tcW w:type="dxa" w:w="2400"/>
            <w:tcBorders>
              <w:top w:val="none" w:color="FFFFFF" w:sz="0"/>
              <w:left w:val="none" w:color="FFFFFF" w:sz="0"/>
              <w:bottom w:val="single" w:color="D9DDE1" w:sz="4"/>
              <w:right w:val="none" w:color="FFFFFF" w:sz="0"/>
            </w:tcBorders>
            <w:tcMar>
              <w:top w:type="dxa" w:w="90"/>
              <w:left w:type="dxa" w:w="0"/>
              <w:bottom w:type="dxa" w:w="90"/>
              <w:right w:type="dxa" w:w="120"/>
            </w:tcMar>
          </w:tcPr>
          <w:p>
            <w:r>
              <w:rPr>
                <w:rFonts w:ascii="Calibri" w:cs="Calibri" w:eastAsia="Calibri" w:hAnsi="Calibri"/>
                <w:b/>
                <w:bCs/>
                <w:color w:val="5F6B76"/>
                <w:sz w:val="18"/>
                <w:szCs w:val="18"/>
              </w:rPr>
              <w:t xml:space="preserve">Format</w:t>
            </w:r>
          </w:p>
        </w:tc>
        <w:tc>
          <w:tcPr>
            <w:tcW w:type="dxa" w:w="6670"/>
            <w:tcBorders>
              <w:top w:val="none" w:color="FFFFFF" w:sz="0"/>
              <w:left w:val="none" w:color="FFFFFF" w:sz="0"/>
              <w:bottom w:val="single" w:color="D9DDE1" w:sz="4"/>
              <w:right w:val="none" w:color="FFFFFF" w:sz="0"/>
            </w:tcBorders>
            <w:tcMar>
              <w:top w:type="dxa" w:w="90"/>
              <w:left w:type="dxa" w:w="0"/>
              <w:bottom w:type="dxa" w:w="90"/>
              <w:right w:type="dxa" w:w="0"/>
            </w:tcMar>
          </w:tcPr>
          <w:p>
            <w:r>
              <w:rPr>
                <w:rFonts w:ascii="Calibri" w:cs="Calibri" w:eastAsia="Calibri" w:hAnsi="Calibri"/>
                <w:sz w:val="20"/>
                <w:szCs w:val="20"/>
              </w:rPr>
              <w:t xml:space="preserve">Redigerbar skabelon - udfyld felterne, og slet vejledningen</w:t>
            </w:r>
          </w:p>
        </w:tc>
      </w:tr>
    </w:tbl>
    <w:p>
      <w:pPr>
        <w:spacing w:after="120" w:before="480"/>
      </w:pPr>
      <w:r>
        <w:rPr>
          <w:rFonts w:ascii="Calibri" w:cs="Calibri" w:eastAsia="Calibri" w:hAnsi="Calibri"/>
          <w:b/>
          <w:bCs/>
          <w:color w:val="28394A"/>
          <w:spacing w:val="40"/>
          <w:sz w:val="17"/>
          <w:szCs w:val="17"/>
        </w:rPr>
        <w:t xml:space="preserve">SÅDAN BRUGES SKABELONEN</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2400"/>
        <w:gridCol w:w="6670"/>
      </w:tblGrid>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1C1917"/>
                <w:sz w:val="20"/>
                <w:szCs w:val="20"/>
                <w:shd w:fill="E8E6E1" w:color="auto" w:val="clear"/>
              </w:rPr>
              <w:t xml:space="preserve">[Navn]</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Grå felter i klammer udfyldes - fx navne, datoer og beløb.</w:t>
            </w:r>
          </w:p>
        </w:tc>
      </w:tr>
      <w:tr>
        <w:tc>
          <w:tcPr>
            <w:tcW w:type="dxa" w:w="2400"/>
            <w:tcBorders>
              <w:top w:val="none" w:color="FFFFFF" w:sz="0"/>
              <w:left w:val="single" w:color="C9A66B" w:sz="18"/>
              <w:bottom w:val="none" w:color="FFFFFF" w:sz="0"/>
              <w:right w:val="none" w:color="FFFFFF" w:sz="0"/>
            </w:tcBorders>
            <w:shd w:fill="F7F3EC" w:color="auto" w:val="clear"/>
            <w:tcMar>
              <w:top w:type="dxa" w:w="80"/>
              <w:left w:type="dxa" w:w="140"/>
              <w:bottom w:type="dxa" w:w="80"/>
              <w:right w:type="dxa" w:w="140"/>
            </w:tcMar>
            <w:vAlign w:val="center"/>
          </w:tcPr>
          <w:p>
            <w:r>
              <w:rPr>
                <w:rFonts w:ascii="Calibri" w:cs="Calibri" w:eastAsia="Calibri" w:hAnsi="Calibri"/>
                <w:b/>
                <w:bCs/>
                <w:color w:val="9A7032"/>
                <w:spacing w:val="30"/>
                <w:sz w:val="15"/>
                <w:szCs w:val="15"/>
              </w:rPr>
              <w:t xml:space="preserve">VEJLEDNING</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Tonede bokse er vejledning til jer og </w:t>
            </w:r>
            <w:r>
              <w:rPr>
                <w:rFonts w:ascii="Calibri" w:cs="Calibri" w:eastAsia="Calibri" w:hAnsi="Calibri"/>
                <w:b/>
                <w:bCs/>
                <w:color w:val="3F3A33"/>
                <w:sz w:val="19"/>
                <w:szCs w:val="19"/>
              </w:rPr>
              <w:t xml:space="preserve">slettes</w:t>
            </w:r>
            <w:r>
              <w:rPr>
                <w:rFonts w:ascii="Calibri" w:cs="Calibri" w:eastAsia="Calibri" w:hAnsi="Calibri"/>
                <w:color w:val="3F3A33"/>
                <w:sz w:val="19"/>
                <w:szCs w:val="19"/>
              </w:rPr>
              <w:t xml:space="preserve">, inden dokumentet bruges.</w:t>
            </w:r>
          </w:p>
        </w:tc>
      </w:tr>
      <w:tr>
        <w:tc>
          <w:tcPr>
            <w:tcW w:type="dxa" w:w="2400"/>
            <w:tcBorders>
              <w:top w:val="none" w:color="FFFFFF" w:sz="0"/>
              <w:left w:val="none" w:color="FFFFFF" w:sz="0"/>
              <w:bottom w:val="none" w:color="FFFFFF" w:sz="0"/>
              <w:right w:val="none" w:color="FFFFFF" w:sz="0"/>
            </w:tcBorders>
            <w:tcMar>
              <w:top w:type="dxa" w:w="80"/>
              <w:left w:type="dxa" w:w="140"/>
              <w:bottom w:type="dxa" w:w="80"/>
              <w:right w:type="dxa" w:w="140"/>
            </w:tcMar>
            <w:vAlign w:val="center"/>
          </w:tcPr>
          <w:p>
            <w:r>
              <w:rPr>
                <w:rFonts w:ascii="Calibri" w:cs="Calibri" w:eastAsia="Calibri" w:hAnsi="Calibri"/>
                <w:color w:val="28394A"/>
                <w:sz w:val="20"/>
                <w:szCs w:val="20"/>
              </w:rPr>
              <w:t xml:space="preserve">☐  Valgmulighed</w:t>
            </w:r>
          </w:p>
        </w:tc>
        <w:tc>
          <w:tcPr>
            <w:tcW w:type="dxa" w:w="6670"/>
            <w:tcBorders>
              <w:top w:val="none" w:color="FFFFFF" w:sz="0"/>
              <w:left w:val="none" w:color="FFFFFF" w:sz="0"/>
              <w:bottom w:val="none" w:color="FFFFFF" w:sz="0"/>
              <w:right w:val="none" w:color="FFFFFF" w:sz="0"/>
            </w:tcBorders>
            <w:tcMar>
              <w:top w:type="dxa" w:w="80"/>
              <w:left w:type="dxa" w:w="200"/>
              <w:bottom w:type="dxa" w:w="80"/>
              <w:right w:type="dxa" w:w="0"/>
            </w:tcMar>
            <w:vAlign w:val="center"/>
          </w:tcPr>
          <w:p>
            <w:r>
              <w:rPr>
                <w:rFonts w:ascii="Calibri" w:cs="Calibri" w:eastAsia="Calibri" w:hAnsi="Calibri"/>
                <w:color w:val="3F3A33"/>
                <w:sz w:val="19"/>
                <w:szCs w:val="19"/>
              </w:rPr>
              <w:t xml:space="preserve">Vælg det, der passer, og slet resten. Afsnit, der ikke er relevante, kan slettes helt.</w:t>
            </w:r>
          </w:p>
        </w:tc>
      </w:tr>
    </w:tbl>
    <w:p>
      <w:pPr>
        <w:spacing w:after="0" w:before="480" w:line="288" w:lineRule="auto"/>
        <w:sectPr>
          <w:headerReference w:type="default" r:id="rId6"/>
          <w:footerReference w:type="default" r:id="rId7"/>
          <w:pgSz w:w="11906" w:h="16838" w:orient="portrait"/>
          <w:pgMar w:top="1100" w:right="1418" w:bottom="1300" w:left="1418" w:header="560" w:footer="560" w:gutter="0"/>
          <w:pgNumType/>
          <w:docGrid w:linePitch="360"/>
        </w:sectPr>
      </w:pPr>
      <w:r>
        <w:rPr>
          <w:rFonts w:ascii="Calibri" w:cs="Calibri" w:eastAsia="Calibri" w:hAnsi="Calibri"/>
          <w:i/>
          <w:iCs/>
          <w:color w:val="5F6B76"/>
          <w:sz w:val="16"/>
          <w:szCs w:val="16"/>
        </w:rPr>
        <w:t xml:space="preserve">Skabelonen er et udgangspunkt og ikke juridisk rådgivning. Lovgivningen kan være ændret siden udarbejdelsen - kontrollér reglerne, og søg rådgivning ved større eller usædvanlige forhold.</w:t>
      </w:r>
    </w:p>
    <w:p>
      <w:pPr>
        <w:spacing w:after="80" w:before="0"/>
      </w:pPr>
      <w:r>
        <w:rPr>
          <w:rFonts w:ascii="Calibri" w:cs="Calibri" w:eastAsia="Calibri" w:hAnsi="Calibri"/>
          <w:b/>
          <w:bCs/>
          <w:color w:val="9A7032"/>
          <w:spacing w:val="40"/>
          <w:sz w:val="17"/>
          <w:szCs w:val="17"/>
        </w:rPr>
        <w:t xml:space="preserve">SLETTES FØR BRUG</w:t>
      </w:r>
    </w:p>
    <w:p>
      <w:pPr>
        <w:spacing w:after="240"/>
      </w:pPr>
      <w:r>
        <w:rPr>
          <w:rFonts w:ascii="Calibri" w:cs="Calibri" w:eastAsia="Calibri" w:hAnsi="Calibri"/>
          <w:b/>
          <w:bCs/>
          <w:color w:val="28394A"/>
          <w:sz w:val="40"/>
          <w:szCs w:val="40"/>
        </w:rPr>
        <w:t xml:space="preserve">Før du går i gang</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VIGTIGT AT VIDE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Aftalen er også et af de "rimelige foranstaltninger", som forretningshemmelighedsloven kræver, før en oplysning er beskyttet som forretningshemmelighed. Uden en aftale kan det være svært at stoppe misbrug.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Vælg </w:t>
      </w:r>
      <w:r>
        <w:rPr>
          <w:rFonts w:ascii="Calibri" w:cs="Calibri" w:eastAsia="Calibri" w:hAnsi="Calibri"/>
          <w:b/>
          <w:bCs/>
          <w:color w:val="3F3A33"/>
          <w:sz w:val="19"/>
          <w:szCs w:val="19"/>
        </w:rPr>
        <w:t xml:space="preserve">gensidig</w:t>
      </w:r>
      <w:r>
        <w:rPr>
          <w:rFonts w:ascii="Calibri" w:cs="Calibri" w:eastAsia="Calibri" w:hAnsi="Calibri"/>
          <w:color w:val="3F3A33"/>
          <w:sz w:val="19"/>
          <w:szCs w:val="19"/>
        </w:rPr>
        <w:t xml:space="preserve"> aftale, hvis begge parter deler oplysninger, og </w:t>
      </w:r>
      <w:r>
        <w:rPr>
          <w:rFonts w:ascii="Calibri" w:cs="Calibri" w:eastAsia="Calibri" w:hAnsi="Calibri"/>
          <w:b/>
          <w:bCs/>
          <w:color w:val="3F3A33"/>
          <w:sz w:val="19"/>
          <w:szCs w:val="19"/>
        </w:rPr>
        <w:t xml:space="preserve">ensidig</w:t>
      </w:r>
      <w:r>
        <w:rPr>
          <w:rFonts w:ascii="Calibri" w:cs="Calibri" w:eastAsia="Calibri" w:hAnsi="Calibri"/>
          <w:color w:val="3F3A33"/>
          <w:sz w:val="19"/>
          <w:szCs w:val="19"/>
        </w:rPr>
        <w:t xml:space="preserve">, hvis kun den ene gør. Er I i tvivl, er gensidig det sikre valg.</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Skal en </w:t>
      </w:r>
      <w:r>
        <w:rPr>
          <w:rFonts w:ascii="Calibri" w:cs="Calibri" w:eastAsia="Calibri" w:hAnsi="Calibri"/>
          <w:b/>
          <w:bCs/>
          <w:color w:val="3F3A33"/>
          <w:sz w:val="19"/>
          <w:szCs w:val="19"/>
        </w:rPr>
        <w:t xml:space="preserve">opfindelse</w:t>
      </w:r>
      <w:r>
        <w:rPr>
          <w:rFonts w:ascii="Calibri" w:cs="Calibri" w:eastAsia="Calibri" w:hAnsi="Calibri"/>
          <w:color w:val="3F3A33"/>
          <w:sz w:val="19"/>
          <w:szCs w:val="19"/>
        </w:rPr>
        <w:t xml:space="preserve"> vises, før der er søgt patent, så skriv under først. En opfindelse, der er vist frit til andre, kan miste sin nyhed, og så kan der ikke længere opnås patent.</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Skabelonen er </w:t>
      </w:r>
      <w:r>
        <w:rPr>
          <w:rFonts w:ascii="Calibri" w:cs="Calibri" w:eastAsia="Calibri" w:hAnsi="Calibri"/>
          <w:b/>
          <w:bCs/>
          <w:color w:val="3F3A33"/>
          <w:sz w:val="19"/>
          <w:szCs w:val="19"/>
        </w:rPr>
        <w:t xml:space="preserve">ikke</w:t>
      </w:r>
      <w:r>
        <w:rPr>
          <w:rFonts w:ascii="Calibri" w:cs="Calibri" w:eastAsia="Calibri" w:hAnsi="Calibri"/>
          <w:color w:val="3F3A33"/>
          <w:sz w:val="19"/>
          <w:szCs w:val="19"/>
        </w:rPr>
        <w:t xml:space="preserve"> egnet som fortrolighedsklausul i en ansættelseskontrakt, og den må ikke bruges som en skjult konkurrence- eller kundeklausul - de er reguleret af lov om ansættelsesklausuler. Aftalen erstatter heller ikke en databehandleraftale, hvis den ene part skal behandle personoplysninger for den anden.</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Faldgruber: oplysninger sendes, før aftalen er underskrevet, uden at aftalen dækker dem; aftalen forbyder kun videregivelse, men ikke anden brug; bod mangler eller er så høj, at den kan blive nedsat; aftalen forsøger at forhindre whistleblowing; aftalen forbyder at ansætte den anden parts medarbejdere - det er en ugyldig jobklausul.</w:t>
      </w:r>
    </w:p>
    <w:p>
      <w:pPr>
        <w:spacing w:after="120"/>
      </w:pP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KILDER OG INSPIRATION</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Forretningshemmelighedsloven § 2, nr. 1 (rimelige foranstaltninger), § 3, stk. 1, nr. 2 (reverse engineering er lovlig uden aftale), § 4, stk. 2 (brud på fortrolighedsaftale), § 5 (undtagelser) og § 14 (6 måneders frister).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Lov om beskyttelse af whistleblowere (rettigheder kan ikke fraviges ved aftale).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Lov om ansættelsesklausuler §§ 3-4 (forbud mod jobklausuler, også mellem virksomheder) og §§ 5-7 (konkurrence- og kundeklausuler).</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Databeskyttelsesforordningen art. 28 (databehandleraftale).</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Aftaleloven § 36 (urimelige vilkår, herunder bod) og forældelsesloven § 3.</w:t>
      </w:r>
    </w:p>
    <w:p>
      <w:pPr>
        <w:keepNext/>
        <w:keepLines/>
        <w:pBdr>
          <w:left w:val="single" w:color="C9A66B" w:sz="18" w:space="10"/>
        </w:pBdr>
        <w:shd w:fill="F7F3EC" w:color="auto" w:val="clear"/>
        <w:spacing w:after="60" w:line="270" w:lineRule="auto"/>
        <w:ind w:left="200" w:right="200"/>
      </w:pPr>
      <w:r>
        <w:rPr>
          <w:rFonts w:ascii="Calibri" w:cs="Calibri" w:eastAsia="Calibri" w:hAnsi="Calibri"/>
          <w:color w:val="3F3A33"/>
          <w:sz w:val="19"/>
          <w:szCs w:val="19"/>
        </w:rPr>
        <w:t xml:space="preserve">Retsplejeloven § 245 og kapitel 40 (værneting og forbud).</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Patent- og Varemærkestyrelsen, "Vejledning til fortrolighedserklæring" (december 2021).</w:t>
      </w:r>
    </w:p>
    <w:p>
      <w:pPr>
        <w:spacing w:before="200"/>
        <w:sectPr>
          <w:headerReference w:type="default" r:id="rId8"/>
          <w:footerReference w:type="default" r:id="rId9"/>
          <w:pgSz w:w="11906" w:h="16838" w:orient="portrait"/>
          <w:pgMar w:top="1418" w:right="1418" w:bottom="1300" w:left="1418" w:header="560" w:footer="560" w:gutter="0"/>
          <w:pgNumType/>
          <w:docGrid w:linePitch="360"/>
        </w:sectPr>
      </w:pPr>
      <w:r>
        <w:rPr>
          <w:rFonts w:ascii="Calibri" w:cs="Calibri" w:eastAsia="Calibri" w:hAnsi="Calibri"/>
          <w:color w:val="1C1917"/>
          <w:sz w:val="20"/>
          <w:szCs w:val="20"/>
        </w:rPr>
        <w:t xml:space="preserve">Læs guiden med lovkrav, faldgruber og praksis: </w:t>
      </w:r>
      <w:hyperlink w:history="1" r:id="rIdd20jiusuw652sthjpshan">
        <w:r>
          <w:rPr>
            <w:rFonts w:ascii="Calibri" w:cs="Calibri" w:eastAsia="Calibri" w:hAnsi="Calibri"/>
            <w:color w:val="1E4FA3"/>
            <w:sz w:val="20"/>
            <w:szCs w:val="20"/>
            <w:u w:val="single"/>
          </w:rPr>
          <w:t xml:space="preserve">lovguiden.dk/praksisoversigt/erhverv-og-kontrakter/fortrolighedsaftale-nda</w:t>
        </w:r>
      </w:hyperlink>
    </w:p>
    <w:p>
      <w:pPr>
        <w:spacing w:after="80"/>
      </w:pPr>
      <w:r>
        <w:rPr>
          <w:rFonts w:ascii="Calibri" w:cs="Calibri" w:eastAsia="Calibri" w:hAnsi="Calibri"/>
          <w:b/>
          <w:bCs/>
          <w:color w:val="28394A"/>
          <w:sz w:val="44"/>
          <w:szCs w:val="44"/>
        </w:rPr>
        <w:t xml:space="preserve">Fortrolighedsaftale</w:t>
      </w:r>
    </w:p>
    <w:p>
      <w:pPr>
        <w:spacing w:after="120" w:line="288" w:lineRule="auto"/>
      </w:pPr>
      <w:r>
        <w:rPr>
          <w:rFonts w:ascii="Calibri" w:cs="Calibri" w:eastAsia="Calibri" w:hAnsi="Calibri"/>
          <w:color w:val="5F6B76"/>
          <w:sz w:val="22"/>
          <w:szCs w:val="22"/>
        </w:rPr>
        <w:t xml:space="preserve">mellem </w:t>
      </w:r>
      <w:r>
        <w:rPr>
          <w:rFonts w:ascii="Calibri" w:cs="Calibri" w:eastAsia="Calibri" w:hAnsi="Calibri"/>
          <w:color w:val="1C1917"/>
          <w:sz w:val="22"/>
          <w:szCs w:val="22"/>
          <w:shd w:fill="E8E6E1" w:color="auto" w:val="clear"/>
        </w:rPr>
        <w:t xml:space="preserve">[Part A]</w:t>
      </w:r>
      <w:r>
        <w:rPr>
          <w:rFonts w:ascii="Calibri" w:cs="Calibri" w:eastAsia="Calibri" w:hAnsi="Calibri"/>
          <w:color w:val="5F6B76"/>
          <w:sz w:val="22"/>
          <w:szCs w:val="22"/>
        </w:rPr>
        <w:t xml:space="preserve"> og </w:t>
      </w:r>
      <w:r>
        <w:rPr>
          <w:rFonts w:ascii="Calibri" w:cs="Calibri" w:eastAsia="Calibri" w:hAnsi="Calibri"/>
          <w:color w:val="1C1917"/>
          <w:sz w:val="22"/>
          <w:szCs w:val="22"/>
          <w:shd w:fill="E8E6E1" w:color="auto" w:val="clear"/>
        </w:rPr>
        <w:t xml:space="preserve">[Part B]</w:t>
      </w:r>
    </w:p>
    <w:p>
      <w:pPr>
        <w:pBdr>
          <w:bottom w:val="single" w:color="9A7032" w:sz="12"/>
        </w:pBdr>
        <w:spacing w:after="360"/>
        <w:ind w:right="7600"/>
      </w:pP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Parter</w:t>
      </w:r>
    </w:p>
    <w:p>
      <w:pPr>
        <w:keepNext/>
        <w:spacing w:after="80" w:before="220"/>
      </w:pPr>
      <w:r>
        <w:rPr>
          <w:rFonts w:ascii="Calibri" w:cs="Calibri" w:eastAsia="Calibri" w:hAnsi="Calibri"/>
          <w:b/>
          <w:bCs/>
          <w:color w:val="28394A"/>
          <w:sz w:val="22"/>
          <w:szCs w:val="22"/>
        </w:rPr>
        <w:t xml:space="preserve">Part A</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[Virksomhedsnavn / fulde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CVR-/CPR-nr.</w:t>
      </w:r>
      <w:r>
        <w:t xml:space="preserve">	</w:t>
      </w:r>
      <w:r>
        <w:rPr>
          <w:rFonts w:ascii="Calibri" w:cs="Calibri" w:eastAsia="Calibri" w:hAnsi="Calibri"/>
          <w:color w:val="1C1917"/>
          <w:sz w:val="22"/>
          <w:szCs w:val="22"/>
          <w:shd w:fill="E8E6E1" w:color="auto" w:val="clear"/>
        </w:rPr>
        <w:t xml:space="preserve">[CVR-nr. / CPR-nr. for privatpersoner]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Kontaktperson</w:t>
      </w:r>
      <w:r>
        <w:t xml:space="preserve">	</w:t>
      </w:r>
      <w:r>
        <w:rPr>
          <w:rFonts w:ascii="Calibri" w:cs="Calibri" w:eastAsia="Calibri" w:hAnsi="Calibri"/>
          <w:color w:val="1C1917"/>
          <w:sz w:val="22"/>
          <w:szCs w:val="22"/>
          <w:shd w:fill="E8E6E1" w:color="auto" w:val="clear"/>
        </w:rPr>
        <w:t xml:space="preserve">[Navn, e-mail]</w:t>
      </w:r>
    </w:p>
    <w:p>
      <w:pPr>
        <w:keepNext/>
        <w:spacing w:after="80" w:before="220"/>
      </w:pPr>
      <w:r>
        <w:rPr>
          <w:rFonts w:ascii="Calibri" w:cs="Calibri" w:eastAsia="Calibri" w:hAnsi="Calibri"/>
          <w:b/>
          <w:bCs/>
          <w:color w:val="28394A"/>
          <w:sz w:val="22"/>
          <w:szCs w:val="22"/>
        </w:rPr>
        <w:t xml:space="preserve">Part B</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[Virksomhedsnavn / fulde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CVR-/CPR-nr.</w:t>
      </w:r>
      <w:r>
        <w:t xml:space="preserve">	</w:t>
      </w:r>
      <w:r>
        <w:rPr>
          <w:rFonts w:ascii="Calibri" w:cs="Calibri" w:eastAsia="Calibri" w:hAnsi="Calibri"/>
          <w:color w:val="1C1917"/>
          <w:sz w:val="22"/>
          <w:szCs w:val="22"/>
          <w:shd w:fill="E8E6E1" w:color="auto" w:val="clear"/>
        </w:rPr>
        <w:t xml:space="preserve">[CVR-nr. / CPR-nr. for privatpersoner]</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Adresse</w:t>
      </w:r>
      <w:r>
        <w:t xml:space="preserve">	</w:t>
      </w:r>
      <w:r>
        <w:rPr>
          <w:rFonts w:ascii="Calibri" w:cs="Calibri" w:eastAsia="Calibri" w:hAnsi="Calibri"/>
          <w:color w:val="1C1917"/>
          <w:sz w:val="22"/>
          <w:szCs w:val="22"/>
          <w:shd w:fill="E8E6E1" w:color="auto" w:val="clear"/>
        </w:rPr>
        <w:t xml:space="preserve">[Adresse, postnr. og by]</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Kontaktperson</w:t>
      </w:r>
      <w:r>
        <w:t xml:space="preserve">	</w:t>
      </w:r>
      <w:r>
        <w:rPr>
          <w:rFonts w:ascii="Calibri" w:cs="Calibri" w:eastAsia="Calibri" w:hAnsi="Calibri"/>
          <w:color w:val="1C1917"/>
          <w:sz w:val="22"/>
          <w:szCs w:val="22"/>
          <w:shd w:fill="E8E6E1" w:color="auto" w:val="clear"/>
        </w:rPr>
        <w:t xml:space="preserve">[Navn, e-mail]</w:t>
      </w:r>
    </w:p>
    <w:p>
      <w:pPr>
        <w:spacing w:after="120" w:line="288" w:lineRule="auto"/>
      </w:pPr>
      <w:r>
        <w:rPr>
          <w:rFonts w:ascii="Calibri" w:cs="Calibri" w:eastAsia="Calibri" w:hAnsi="Calibri"/>
          <w:color w:val="1C1917"/>
          <w:sz w:val="22"/>
          <w:szCs w:val="22"/>
        </w:rPr>
        <w:t xml:space="preserve">Aftalen 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Gensidig: Begge parter kan afgive og modtage fortrolige oplysninger. Bestemmelserne gælder for hver part i rollen som modtager.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Ensidig: Kun </w:t>
      </w:r>
      <w:r>
        <w:rPr>
          <w:rFonts w:ascii="Calibri" w:cs="Calibri" w:eastAsia="Calibri" w:hAnsi="Calibri"/>
          <w:color w:val="1C1917"/>
          <w:sz w:val="22"/>
          <w:szCs w:val="22"/>
          <w:shd w:fill="E8E6E1" w:color="auto" w:val="clear"/>
        </w:rPr>
        <w:t xml:space="preserve">[Part A / Part B]</w:t>
      </w:r>
      <w:r>
        <w:rPr>
          <w:rFonts w:ascii="Calibri" w:cs="Calibri" w:eastAsia="Calibri" w:hAnsi="Calibri"/>
          <w:color w:val="1C1917"/>
          <w:sz w:val="22"/>
          <w:szCs w:val="22"/>
        </w:rPr>
        <w:t xml:space="preserve"> ("Afgiver") afgiver fortrolige oplysninger til den anden part ("Modtager").</w:t>
      </w:r>
    </w:p>
    <w:p>
      <w:pPr>
        <w:tabs>
          <w:tab w:val="left" w:pos="760"/>
        </w:tabs>
        <w:spacing w:after="80" w:line="288" w:lineRule="auto"/>
        <w:ind w:left="760" w:hanging="400"/>
      </w:pPr>
      <w:r>
        <w:rPr>
          <w:rFonts w:ascii="Segoe UI Symbol" w:cs="Segoe UI Symbol" w:eastAsia="Segoe UI Symbol" w:hAnsi="Segoe UI Symbol"/>
          <w:color w:val="28394A"/>
          <w:sz w:val="22"/>
          <w:szCs w:val="22"/>
        </w:rPr>
        <w:t xml:space="preserve">☐</w:t>
      </w:r>
      <w:r>
        <w:t xml:space="preserve">	</w:t>
      </w:r>
      <w:r>
        <w:rPr>
          <w:rFonts w:ascii="Calibri" w:cs="Calibri" w:eastAsia="Calibri" w:hAnsi="Calibri"/>
          <w:color w:val="1C1917"/>
          <w:sz w:val="22"/>
          <w:szCs w:val="22"/>
        </w:rPr>
        <w:t xml:space="preserve">Aftalen omfatter også parternes koncernselskaber. Hver part hæfter for, at dens koncernselskaber overholder aftalen.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Formål</w:t>
      </w:r>
    </w:p>
    <w:p>
      <w:pPr>
        <w:spacing w:after="120" w:line="288" w:lineRule="auto"/>
      </w:pPr>
      <w:r>
        <w:rPr>
          <w:rFonts w:ascii="Calibri" w:cs="Calibri" w:eastAsia="Calibri" w:hAnsi="Calibri"/>
          <w:color w:val="1C1917"/>
          <w:sz w:val="22"/>
          <w:szCs w:val="22"/>
        </w:rPr>
        <w:t xml:space="preserve">Oplysningerne udveksles alene med henblik på </w:t>
      </w:r>
      <w:r>
        <w:rPr>
          <w:rFonts w:ascii="Calibri" w:cs="Calibri" w:eastAsia="Calibri" w:hAnsi="Calibri"/>
          <w:color w:val="1C1917"/>
          <w:sz w:val="22"/>
          <w:szCs w:val="22"/>
          <w:shd w:fill="E8E6E1" w:color="auto" w:val="clear"/>
        </w:rPr>
        <w:t xml:space="preserve">[Konkret beskrivelse, fx at vurdere et samarbejde om udvikling af (område)]</w:t>
      </w:r>
      <w:r>
        <w:rPr>
          <w:rFonts w:ascii="Calibri" w:cs="Calibri" w:eastAsia="Calibri" w:hAnsi="Calibri"/>
          <w:color w:val="1C1917"/>
          <w:sz w:val="22"/>
          <w:szCs w:val="22"/>
        </w:rPr>
        <w:t xml:space="preserve"> ("Formålet").</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Beskriv formålet præcist, men uden at afsløre selve hemmeligheden. Formålet afgrænser, hvad modtageren må bruge oplysningerne til - jo mere præcist, jo stærkere beskyttelse.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Fortrolige oplysninger</w:t>
      </w:r>
    </w:p>
    <w:p>
      <w:pPr>
        <w:spacing w:after="120" w:line="288" w:lineRule="auto"/>
      </w:pPr>
      <w:r>
        <w:rPr>
          <w:rFonts w:ascii="Calibri" w:cs="Calibri" w:eastAsia="Calibri" w:hAnsi="Calibri"/>
          <w:color w:val="1C1917"/>
          <w:sz w:val="22"/>
          <w:szCs w:val="22"/>
        </w:rPr>
        <w:t xml:space="preserve">Fortrolige oplysninger er alle oplysninger af teknisk, kommerciel, finansiel eller anden art, som Afgiver giver Modtager i forbindelse med Formålet - uanset om de gives skriftligt, mundtligt, elektronisk eller ved besigtigelse - herunder kopier, noter og analyser, som Modtager udarbejder på grundlag af dem.</w:t>
      </w:r>
    </w:p>
    <w:p>
      <w:pPr>
        <w:spacing w:after="120" w:line="288" w:lineRule="auto"/>
      </w:pPr>
      <w:r>
        <w:rPr>
          <w:rFonts w:ascii="Calibri" w:cs="Calibri" w:eastAsia="Calibri" w:hAnsi="Calibri"/>
          <w:color w:val="1C1917"/>
          <w:sz w:val="22"/>
          <w:szCs w:val="22"/>
        </w:rPr>
        <w:t xml:space="preserve">Det er også fortroligt, at parterne forhandler, og hvad forhandlingerne går ud på.</w:t>
      </w:r>
    </w:p>
    <w:p>
      <w:pPr>
        <w:spacing w:after="120" w:line="288" w:lineRule="auto"/>
      </w:pPr>
      <w:r>
        <w:rPr>
          <w:rFonts w:ascii="Calibri" w:cs="Calibri" w:eastAsia="Calibri" w:hAnsi="Calibri"/>
          <w:color w:val="1C1917"/>
          <w:sz w:val="22"/>
          <w:szCs w:val="22"/>
        </w:rPr>
        <w:t xml:space="preserve">Aftalen omfatter også oplysninger, der er givet før underskrift, fra og med den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w:t>
      </w:r>
    </w:p>
    <w:p>
      <w:pPr>
        <w:spacing w:after="120" w:line="288" w:lineRule="auto"/>
      </w:pPr>
      <w:r>
        <w:rPr>
          <w:rFonts w:ascii="Calibri" w:cs="Calibri" w:eastAsia="Calibri" w:hAnsi="Calibri"/>
          <w:color w:val="1C1917"/>
          <w:sz w:val="22"/>
          <w:szCs w:val="22"/>
        </w:rPr>
        <w:t xml:space="preserve">Afgiver bør mærke skriftlige oplysninger som fortrolige. Manglende mærkning betyder ikke, at en oplysning ikke er fortrolig, hvis det fremgår af omstændighederne.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4.</w:t>
      </w:r>
      <w:r>
        <w:rPr>
          <w:rFonts w:ascii="Calibri" w:cs="Calibri" w:eastAsia="Calibri" w:hAnsi="Calibri"/>
          <w:sz w:val="26"/>
          <w:szCs w:val="26"/>
        </w:rPr>
        <w:t xml:space="preserve">	</w:t>
      </w:r>
      <w:r>
        <w:rPr>
          <w:rFonts w:ascii="Calibri" w:cs="Calibri" w:eastAsia="Calibri" w:hAnsi="Calibri"/>
          <w:b/>
          <w:bCs/>
          <w:color w:val="28394A"/>
          <w:sz w:val="26"/>
          <w:szCs w:val="26"/>
        </w:rPr>
        <w:t xml:space="preserve">Modtagers forpligtelser</w:t>
      </w:r>
    </w:p>
    <w:p>
      <w:pPr>
        <w:spacing w:after="120" w:line="288" w:lineRule="auto"/>
      </w:pPr>
      <w:r>
        <w:rPr>
          <w:rFonts w:ascii="Calibri" w:cs="Calibri" w:eastAsia="Calibri" w:hAnsi="Calibri"/>
          <w:color w:val="1C1917"/>
          <w:sz w:val="22"/>
          <w:szCs w:val="22"/>
        </w:rPr>
        <w:t xml:space="preserve">Modtager skal:</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kun bruge de fortrolige oplysninger til Formålet,</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ikke videregive dem til andre end dem, der er nævnt i afsnit 5,</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beskytte dem med mindst samme omhu som egne fortrolige oplysninger og mindst med rimelige sikkerhedsforanstaltninger,</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ikke kopiere dem mere end nødvendigt for Formålet,</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ikke foretage reverse engineering, dekompilering eller analyse af prøver, prototyper eller software, der er modtaget, og</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straks give Afgiver besked, hvis Modtager bliver opmærksom på, at oplysningerne er kommet uvedkommende i hænde.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Forbuddet mod reverse engineering er vigtigt: Uden en aftale er det lovligt at undersøge og skille et produkt ad, som man lovligt har fået (forretningshemmelighedsloven § 3, stk. 1, nr. 2). Tilføj ikke et forbud mod at ansætte den anden parts medarbejdere - det er en jobklausul, som er ugyldig (lov om ansættelsesklausuler § 3). Undtagelsen er forhandlinger om virksomhedsoverdragelse, hvor det er tilladt i en kort periode (§ 4).</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5.</w:t>
      </w:r>
      <w:r>
        <w:rPr>
          <w:rFonts w:ascii="Calibri" w:cs="Calibri" w:eastAsia="Calibri" w:hAnsi="Calibri"/>
          <w:sz w:val="26"/>
          <w:szCs w:val="26"/>
        </w:rPr>
        <w:t xml:space="preserve">	</w:t>
      </w:r>
      <w:r>
        <w:rPr>
          <w:rFonts w:ascii="Calibri" w:cs="Calibri" w:eastAsia="Calibri" w:hAnsi="Calibri"/>
          <w:b/>
          <w:bCs/>
          <w:color w:val="28394A"/>
          <w:sz w:val="26"/>
          <w:szCs w:val="26"/>
        </w:rPr>
        <w:t xml:space="preserve">Medarbejdere og rådgivere</w:t>
      </w:r>
    </w:p>
    <w:p>
      <w:pPr>
        <w:spacing w:after="120" w:line="288" w:lineRule="auto"/>
      </w:pPr>
      <w:r>
        <w:rPr>
          <w:rFonts w:ascii="Calibri" w:cs="Calibri" w:eastAsia="Calibri" w:hAnsi="Calibri"/>
          <w:color w:val="1C1917"/>
          <w:sz w:val="22"/>
          <w:szCs w:val="22"/>
        </w:rPr>
        <w:t xml:space="preserve">Modtager må kun give fortrolige oplysninger til egne medarbejdere, bestyrelsesmedlemmer og rådgivere, der har brug for dem til Formålet, og som er bundet af en tavshedspligt, der mindst svarer til denne aftale. Modtager hæfter for, at de overholder den.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Advokater og revisorer har lovbestemt tavshedspligt. Andre rådgivere og konsulenter bør underskrive en tilsvarende erklæring, før de får adgang.</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6.</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Undtagelser</w:t>
      </w:r>
    </w:p>
    <w:p>
      <w:pPr>
        <w:spacing w:after="120" w:line="288" w:lineRule="auto"/>
      </w:pPr>
      <w:r>
        <w:rPr>
          <w:rFonts w:ascii="Calibri" w:cs="Calibri" w:eastAsia="Calibri" w:hAnsi="Calibri"/>
          <w:color w:val="1C1917"/>
          <w:sz w:val="22"/>
          <w:szCs w:val="22"/>
        </w:rPr>
        <w:t xml:space="preserve">Forpligtelserne gælder ikke oplysninger, som Modtager kan dokumentere:</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er eller bliver offentligt tilgængelige, uden at Modtager har brudt aftalen,</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var i Modtagers besiddelse, før de blev modtaget fra Afgiver,</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er modtaget lovligt fra tredjemand uden tavshedspligt, eller</w:t>
      </w:r>
    </w:p>
    <w:p>
      <w:pPr>
        <w:tabs>
          <w:tab w:val="left" w:pos="760"/>
        </w:tabs>
        <w:spacing w:after="70" w:line="288" w:lineRule="auto"/>
        <w:ind w:left="760" w:hanging="400"/>
      </w:pPr>
      <w:r>
        <w:rPr>
          <w:rFonts w:ascii="Calibri" w:cs="Calibri" w:eastAsia="Calibri" w:hAnsi="Calibri"/>
          <w:color w:val="9A7032"/>
          <w:sz w:val="22"/>
          <w:szCs w:val="22"/>
        </w:rPr>
        <w:t xml:space="preserve">•</w:t>
      </w:r>
      <w:r>
        <w:t xml:space="preserve">	</w:t>
      </w:r>
      <w:r>
        <w:rPr>
          <w:rFonts w:ascii="Calibri" w:cs="Calibri" w:eastAsia="Calibri" w:hAnsi="Calibri"/>
          <w:color w:val="1C1917"/>
          <w:sz w:val="22"/>
          <w:szCs w:val="22"/>
        </w:rPr>
        <w:t xml:space="preserve">er udviklet selvstændigt af Modtager uden brug af de fortrolige oplysninger.</w:t>
      </w:r>
    </w:p>
    <w:p>
      <w:pPr>
        <w:spacing w:after="120" w:line="288" w:lineRule="auto"/>
      </w:pPr>
      <w:r>
        <w:rPr>
          <w:rFonts w:ascii="Calibri" w:cs="Calibri" w:eastAsia="Calibri" w:hAnsi="Calibri"/>
          <w:color w:val="1C1917"/>
          <w:sz w:val="22"/>
          <w:szCs w:val="22"/>
        </w:rPr>
        <w:t xml:space="preserve">Modtager må videregive fortrolige oplysninger, i det omfang lovgivning, en domstol eller en offentlig myndighed kræver det. Hvis det er lovligt, giver Modtager Afgiver skriftlig besked først, så Afgiver kan søge at begrænse videregivelsen.</w:t>
      </w:r>
    </w:p>
    <w:p>
      <w:pPr>
        <w:spacing w:after="120" w:line="288" w:lineRule="auto"/>
      </w:pPr>
      <w:r>
        <w:rPr>
          <w:rFonts w:ascii="Calibri" w:cs="Calibri" w:eastAsia="Calibri" w:hAnsi="Calibri"/>
          <w:color w:val="1C1917"/>
          <w:sz w:val="22"/>
          <w:szCs w:val="22"/>
        </w:rPr>
        <w:t xml:space="preserve">Aftalen begrænser ikke nogens ret til at indberette til en whistleblowerordning eller en offentlig myndighed eller til at bruge de rettigheder, der følger af forretningshemmelighedsloven og lov om beskyttelse af whistleblowere.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7.</w:t>
      </w:r>
      <w:r>
        <w:rPr>
          <w:rFonts w:ascii="Calibri" w:cs="Calibri" w:eastAsia="Calibri" w:hAnsi="Calibri"/>
          <w:sz w:val="26"/>
          <w:szCs w:val="26"/>
        </w:rPr>
        <w:t xml:space="preserve">	</w:t>
      </w:r>
      <w:r>
        <w:rPr>
          <w:rFonts w:ascii="Calibri" w:cs="Calibri" w:eastAsia="Calibri" w:hAnsi="Calibri"/>
          <w:b/>
          <w:bCs/>
          <w:color w:val="28394A"/>
          <w:sz w:val="26"/>
          <w:szCs w:val="26"/>
        </w:rPr>
        <w:t xml:space="preserve">Personoplysninger</w:t>
      </w:r>
    </w:p>
    <w:p>
      <w:pPr>
        <w:spacing w:after="120" w:line="288" w:lineRule="auto"/>
      </w:pPr>
      <w:r>
        <w:rPr>
          <w:rFonts w:ascii="Calibri" w:cs="Calibri" w:eastAsia="Calibri" w:hAnsi="Calibri"/>
          <w:color w:val="1C1917"/>
          <w:sz w:val="22"/>
          <w:szCs w:val="22"/>
        </w:rPr>
        <w:t xml:space="preserve">Indeholder de fortrolige oplysninger personoplysninger, behandler hver part dem i overensstemmelse med databeskyttelsesreglerne. Skal den ene part behandle personoplysninger på den anden parts vegne, indgår parterne en særskilt databehandleraftale.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Undgå så vidt muligt at dele personoplysninger i vurderingsfasen. Anonymisér eller pseudonymisér, hvor det kan lade sig gøre.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8.</w:t>
      </w:r>
      <w:r>
        <w:rPr>
          <w:rFonts w:ascii="Calibri" w:cs="Calibri" w:eastAsia="Calibri" w:hAnsi="Calibri"/>
          <w:sz w:val="26"/>
          <w:szCs w:val="26"/>
        </w:rPr>
        <w:t xml:space="preserve">	</w:t>
      </w:r>
      <w:r>
        <w:rPr>
          <w:rFonts w:ascii="Calibri" w:cs="Calibri" w:eastAsia="Calibri" w:hAnsi="Calibri"/>
          <w:b/>
          <w:bCs/>
          <w:color w:val="28394A"/>
          <w:sz w:val="26"/>
          <w:szCs w:val="26"/>
        </w:rPr>
        <w:t xml:space="preserve">Varighed</w:t>
      </w:r>
    </w:p>
    <w:p>
      <w:pPr>
        <w:spacing w:after="120" w:line="288" w:lineRule="auto"/>
      </w:pPr>
      <w:r>
        <w:rPr>
          <w:rFonts w:ascii="Calibri" w:cs="Calibri" w:eastAsia="Calibri" w:hAnsi="Calibri"/>
          <w:color w:val="1C1917"/>
          <w:sz w:val="22"/>
          <w:szCs w:val="22"/>
        </w:rPr>
        <w:t xml:space="preserve">Aftalen gælder fra underskrift og i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år, eller indtil den afløses af en endelig samarbejdsaftale, der regulerer fortrolighed. Tavshedspligten gælder i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år efter aftalens ophør. For oplysninger, der er forretningshemmeligheder, gælder tavshedspligten, så længe de forbliver hemmelige.</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Patent- og Varemærkestyrelsen angiver 2-10 år som det sædvanlige. Vælg en lang periode for oplysninger, der bevarer deres værdi længe, fx opskrifter, kildekode eller kundedata.</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9.</w:t>
      </w:r>
      <w:r>
        <w:rPr>
          <w:rFonts w:ascii="Calibri" w:cs="Calibri" w:eastAsia="Calibri" w:hAnsi="Calibri"/>
          <w:sz w:val="26"/>
          <w:szCs w:val="26"/>
        </w:rPr>
        <w:t xml:space="preserve">	</w:t>
      </w:r>
      <w:r>
        <w:rPr>
          <w:rFonts w:ascii="Calibri" w:cs="Calibri" w:eastAsia="Calibri" w:hAnsi="Calibri"/>
          <w:b/>
          <w:bCs/>
          <w:color w:val="28394A"/>
          <w:sz w:val="26"/>
          <w:szCs w:val="26"/>
        </w:rPr>
        <w:t xml:space="preserve">Tilbagelevering og sletning</w:t>
      </w:r>
    </w:p>
    <w:p>
      <w:pPr>
        <w:spacing w:after="120" w:line="288" w:lineRule="auto"/>
      </w:pPr>
      <w:r>
        <w:rPr>
          <w:rFonts w:ascii="Calibri" w:cs="Calibri" w:eastAsia="Calibri" w:hAnsi="Calibri"/>
          <w:color w:val="1C1917"/>
          <w:sz w:val="22"/>
          <w:szCs w:val="22"/>
        </w:rPr>
        <w:t xml:space="preserve">Når Afgiver beder om det, og senest når aftalen ophører, skal Modtager inden </w:t>
      </w:r>
      <w:r>
        <w:rPr>
          <w:rFonts w:ascii="Calibri" w:cs="Calibri" w:eastAsia="Calibri" w:hAnsi="Calibri"/>
          <w:color w:val="1C1917"/>
          <w:sz w:val="22"/>
          <w:szCs w:val="22"/>
          <w:shd w:fill="E8E6E1" w:color="auto" w:val="clear"/>
        </w:rPr>
        <w:t xml:space="preserve">[Antal]</w:t>
      </w:r>
      <w:r>
        <w:rPr>
          <w:rFonts w:ascii="Calibri" w:cs="Calibri" w:eastAsia="Calibri" w:hAnsi="Calibri"/>
          <w:color w:val="1C1917"/>
          <w:sz w:val="22"/>
          <w:szCs w:val="22"/>
        </w:rPr>
        <w:t xml:space="preserve"> dage levere fortrolige oplysninger tilbage eller slette dem og skriftligt bekræfte, at det er sket.</w:t>
      </w:r>
    </w:p>
    <w:p>
      <w:pPr>
        <w:spacing w:after="120" w:line="288" w:lineRule="auto"/>
      </w:pPr>
      <w:r>
        <w:rPr>
          <w:rFonts w:ascii="Calibri" w:cs="Calibri" w:eastAsia="Calibri" w:hAnsi="Calibri"/>
          <w:color w:val="1C1917"/>
          <w:sz w:val="22"/>
          <w:szCs w:val="22"/>
        </w:rPr>
        <w:t xml:space="preserve">Modtager må beholde kopier, som lovgivningen kræver opbevaret, og kopier i automatiske sikkerhedskopier, der ikke rimeligt kan slettes. Sådanne kopier er fortsat omfattet af tavshedspligten.</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10.</w:t>
      </w:r>
      <w:r>
        <w:rPr>
          <w:rFonts w:ascii="Calibri" w:cs="Calibri" w:eastAsia="Calibri" w:hAnsi="Calibri"/>
          <w:sz w:val="26"/>
          <w:szCs w:val="26"/>
        </w:rPr>
        <w:t xml:space="preserve">	</w:t>
      </w:r>
      <w:r>
        <w:rPr>
          <w:rFonts w:ascii="Calibri" w:cs="Calibri" w:eastAsia="Calibri" w:hAnsi="Calibri"/>
          <w:b/>
          <w:bCs/>
          <w:color w:val="28394A"/>
          <w:sz w:val="26"/>
          <w:szCs w:val="26"/>
        </w:rPr>
        <w:t xml:space="preserve">Ingen rettigheder eller forpligtelse til samarbejde</w:t>
      </w:r>
    </w:p>
    <w:p>
      <w:pPr>
        <w:spacing w:after="120" w:line="288" w:lineRule="auto"/>
      </w:pPr>
      <w:r>
        <w:rPr>
          <w:rFonts w:ascii="Calibri" w:cs="Calibri" w:eastAsia="Calibri" w:hAnsi="Calibri"/>
          <w:color w:val="1C1917"/>
          <w:sz w:val="22"/>
          <w:szCs w:val="22"/>
        </w:rPr>
        <w:t xml:space="preserve">Aftalen giver ikke Modtager licens eller andre rettigheder til de fortrolige oplysninger eller til Afgivers immaterielle rettigheder. Ingen af parterne er forpligtet til at indgå yderligere aftaler. Oplysningerne gives, som de er, og Afgiver indestår ikke for, at de er korrekte eller fuldstændige.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11.</w:t>
      </w:r>
      <w:r>
        <w:rPr>
          <w:rFonts w:ascii="Calibri" w:cs="Calibri" w:eastAsia="Calibri" w:hAnsi="Calibri"/>
          <w:sz w:val="26"/>
          <w:szCs w:val="26"/>
        </w:rPr>
        <w:t xml:space="preserve">	</w:t>
      </w:r>
      <w:r>
        <w:rPr>
          <w:rFonts w:ascii="Calibri" w:cs="Calibri" w:eastAsia="Calibri" w:hAnsi="Calibri"/>
          <w:b/>
          <w:bCs/>
          <w:color w:val="28394A"/>
          <w:sz w:val="26"/>
          <w:szCs w:val="26"/>
        </w:rPr>
        <w:t xml:space="preserve">Misligholdelse</w:t>
      </w:r>
    </w:p>
    <w:p>
      <w:pPr>
        <w:spacing w:after="120" w:line="288" w:lineRule="auto"/>
      </w:pPr>
      <w:r>
        <w:rPr>
          <w:rFonts w:ascii="Calibri" w:cs="Calibri" w:eastAsia="Calibri" w:hAnsi="Calibri"/>
          <w:color w:val="1C1917"/>
          <w:sz w:val="22"/>
          <w:szCs w:val="22"/>
        </w:rPr>
        <w:t xml:space="preserve">Overtræder Modtager aftalen, betaler Modtager en bod på kr. </w:t>
      </w:r>
      <w:r>
        <w:rPr>
          <w:rFonts w:ascii="Calibri" w:cs="Calibri" w:eastAsia="Calibri" w:hAnsi="Calibri"/>
          <w:color w:val="1C1917"/>
          <w:sz w:val="22"/>
          <w:szCs w:val="22"/>
          <w:shd w:fill="E8E6E1" w:color="auto" w:val="clear"/>
        </w:rPr>
        <w:t xml:space="preserve">[Beløb]</w:t>
      </w:r>
      <w:r>
        <w:rPr>
          <w:rFonts w:ascii="Calibri" w:cs="Calibri" w:eastAsia="Calibri" w:hAnsi="Calibri"/>
          <w:color w:val="1C1917"/>
          <w:sz w:val="22"/>
          <w:szCs w:val="22"/>
        </w:rPr>
        <w:t xml:space="preserve"> for hver overtrædelse, uden at Afgiver skal dokumentere et tab. Er overtrædelsen vedvarende, betales boden for hver påbegyndt </w:t>
      </w:r>
      <w:r>
        <w:rPr>
          <w:rFonts w:ascii="Calibri" w:cs="Calibri" w:eastAsia="Calibri" w:hAnsi="Calibri"/>
          <w:color w:val="1C1917"/>
          <w:sz w:val="22"/>
          <w:szCs w:val="22"/>
          <w:shd w:fill="E8E6E1" w:color="auto" w:val="clear"/>
        </w:rPr>
        <w:t xml:space="preserve">[uge / måned]</w:t>
      </w:r>
      <w:r>
        <w:rPr>
          <w:rFonts w:ascii="Calibri" w:cs="Calibri" w:eastAsia="Calibri" w:hAnsi="Calibri"/>
          <w:color w:val="1C1917"/>
          <w:sz w:val="22"/>
          <w:szCs w:val="22"/>
        </w:rPr>
        <w:t xml:space="preserve">, overtrædelsen fortsætter.</w:t>
      </w:r>
    </w:p>
    <w:p>
      <w:pPr>
        <w:spacing w:after="120" w:line="288" w:lineRule="auto"/>
      </w:pPr>
      <w:r>
        <w:rPr>
          <w:rFonts w:ascii="Calibri" w:cs="Calibri" w:eastAsia="Calibri" w:hAnsi="Calibri"/>
          <w:color w:val="1C1917"/>
          <w:sz w:val="22"/>
          <w:szCs w:val="22"/>
        </w:rPr>
        <w:t xml:space="preserve">Betaling af bod udelukker ikke, at Afgiver kræver erstatning for et større tab, eller at Afgiver får nedlagt forbud eller påbud mod fortsat overtrædelse. Betaling af bod eller erstatning giver ikke Modtager ret til at fortsætte overtrædelsen.</w:t>
      </w:r>
    </w:p>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Boden skal stå i rimeligt forhold til værdien af oplysningerne og parternes størrelse. En urimelig høj bod kan blive nedsat efter aftaleloven § 36. Reagér hurtigt ved brud: Efter forretningshemmelighedsloven skal både anmodning om forbud og sagsanlæg indgives inden 6 måneder efter, at man har fået tilstrækkeligt kendskab til overtrædelsen (§ 14). Kravet på bod forældes efter 3 år (forældelsesloven § 3).</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12.</w:t>
      </w:r>
      <w:r>
        <w:rPr>
          <w:rFonts w:ascii="Calibri" w:cs="Calibri" w:eastAsia="Calibri" w:hAnsi="Calibri"/>
          <w:sz w:val="26"/>
          <w:szCs w:val="26"/>
        </w:rPr>
        <w:t xml:space="preserve">	</w:t>
      </w:r>
      <w:r>
        <w:rPr>
          <w:rFonts w:ascii="Calibri" w:cs="Calibri" w:eastAsia="Calibri" w:hAnsi="Calibri"/>
          <w:b/>
          <w:bCs/>
          <w:color w:val="28394A"/>
          <w:sz w:val="26"/>
          <w:szCs w:val="26"/>
        </w:rPr>
        <w:t xml:space="preserve">Lovvalg og tvister</w:t>
      </w:r>
    </w:p>
    <w:p>
      <w:pPr>
        <w:spacing w:after="120" w:line="288" w:lineRule="auto"/>
      </w:pPr>
      <w:r>
        <w:rPr>
          <w:rFonts w:ascii="Calibri" w:cs="Calibri" w:eastAsia="Calibri" w:hAnsi="Calibri"/>
          <w:color w:val="1C1917"/>
          <w:sz w:val="22"/>
          <w:szCs w:val="22"/>
        </w:rPr>
        <w:t xml:space="preserve">Aftalen er underlagt dansk ret. Tvister afgøres ved </w:t>
      </w:r>
      <w:r>
        <w:rPr>
          <w:rFonts w:ascii="Calibri" w:cs="Calibri" w:eastAsia="Calibri" w:hAnsi="Calibri"/>
          <w:color w:val="1C1917"/>
          <w:sz w:val="22"/>
          <w:szCs w:val="22"/>
          <w:shd w:fill="E8E6E1" w:color="auto" w:val="clear"/>
        </w:rPr>
        <w:t xml:space="preserve">[Retten i (by) / voldgift efter reglerne for (voldgiftsinstitution)]</w:t>
      </w:r>
      <w:r>
        <w:rPr>
          <w:rFonts w:ascii="Calibri" w:cs="Calibri" w:eastAsia="Calibri" w:hAnsi="Calibri"/>
          <w:color w:val="1C1917"/>
          <w:sz w:val="22"/>
          <w:szCs w:val="22"/>
        </w:rPr>
        <w:t xml:space="preserve">. Hver part kan altid søge forbud, påbud eller andre foreløbige retsmidler ved de almindelige domstole.</w:t>
      </w:r>
    </w:p>
    <w:p>
      <w:pPr>
        <w:keepNext/>
        <w:pBdr>
          <w:bottom w:val="single" w:color="D9DDE1" w:sz="4"/>
        </w:pBdr>
        <w:tabs>
          <w:tab w:val="left" w:pos="520"/>
        </w:tabs>
        <w:spacing w:after="160" w:before="400"/>
        <w:ind w:left="520" w:hanging="520"/>
      </w:pPr>
      <w:r>
        <w:rPr>
          <w:rFonts w:ascii="Calibri" w:cs="Calibri" w:eastAsia="Calibri" w:hAnsi="Calibri"/>
          <w:b/>
          <w:bCs/>
          <w:color w:val="9A7032"/>
          <w:sz w:val="26"/>
          <w:szCs w:val="26"/>
        </w:rPr>
        <w:t xml:space="preserve">13.</w:t>
      </w:r>
      <w:r>
        <w:rPr>
          <w:rFonts w:ascii="Calibri" w:cs="Calibri" w:eastAsia="Calibri" w:hAnsi="Calibri"/>
          <w:sz w:val="26"/>
          <w:szCs w:val="26"/>
        </w:rPr>
        <w:t xml:space="preserve">	</w:t>
      </w:r>
      <w:r>
        <w:rPr>
          <w:rFonts w:ascii="Calibri" w:cs="Calibri" w:eastAsia="Calibri" w:hAnsi="Calibri"/>
          <w:b/>
          <w:bCs/>
          <w:color w:val="28394A"/>
          <w:sz w:val="26"/>
          <w:szCs w:val="26"/>
        </w:rPr>
        <w:t xml:space="preserve">Underskrifter</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Part A</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Part B</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r>
    </w:tbl>
    <w:p>
      <w:pPr>
        <w:keepNext/>
        <w:pBdr>
          <w:left w:val="single" w:color="C9A66B" w:sz="18" w:space="10"/>
        </w:pBdr>
        <w:shd w:fill="F7F3EC" w:color="auto" w:val="clear"/>
        <w:spacing w:after="40" w:before="160"/>
        <w:ind w:left="200" w:right="200"/>
      </w:pPr>
      <w:r>
        <w:rPr>
          <w:rFonts w:ascii="Calibri" w:cs="Calibri" w:eastAsia="Calibri" w:hAnsi="Calibri"/>
          <w:b/>
          <w:bCs/>
          <w:color w:val="9A7032"/>
          <w:spacing w:val="30"/>
          <w:sz w:val="15"/>
          <w:szCs w:val="15"/>
        </w:rPr>
        <w:t xml:space="preserve">VEJLEDNING - SLETTES FØR BRUG</w:t>
      </w:r>
    </w:p>
    <w:p>
      <w:pPr>
        <w:keepNext w:val="false"/>
        <w:keepLines/>
        <w:pBdr>
          <w:left w:val="single" w:color="C9A66B" w:sz="18" w:space="10"/>
        </w:pBdr>
        <w:shd w:fill="F7F3EC" w:color="auto" w:val="clear"/>
        <w:spacing w:after="220" w:line="270" w:lineRule="auto"/>
        <w:ind w:left="200" w:right="200"/>
      </w:pPr>
      <w:r>
        <w:rPr>
          <w:rFonts w:ascii="Calibri" w:cs="Calibri" w:eastAsia="Calibri" w:hAnsi="Calibri"/>
          <w:color w:val="3F3A33"/>
          <w:sz w:val="19"/>
          <w:szCs w:val="19"/>
        </w:rPr>
        <w:t xml:space="preserve">Den, der underskriver, skal kunne tegne virksomheden (se tegningsreglen i CVR) eller have fuldmagt. Skriv navn og titel tydeligt under underskriften.</w:t>
      </w:r>
    </w:p>
    <w:p>
      <w:pPr>
        <w:pageBreakBefore/>
      </w:pPr>
    </w:p>
    <w:p>
      <w:pPr>
        <w:keepNext/>
        <w:spacing w:after="80" w:before="220"/>
      </w:pPr>
      <w:r>
        <w:rPr>
          <w:rFonts w:ascii="Calibri" w:cs="Calibri" w:eastAsia="Calibri" w:hAnsi="Calibri"/>
          <w:b/>
          <w:bCs/>
          <w:color w:val="28394A"/>
          <w:sz w:val="22"/>
          <w:szCs w:val="22"/>
        </w:rPr>
        <w:t xml:space="preserve">Bilag (valgfrit) - Erklæring for medarbejder eller rådgiver</w:t>
      </w:r>
    </w:p>
    <w:p>
      <w:pPr>
        <w:spacing w:after="120" w:line="288" w:lineRule="auto"/>
      </w:pPr>
      <w:r>
        <w:rPr>
          <w:rFonts w:ascii="Calibri" w:cs="Calibri" w:eastAsia="Calibri" w:hAnsi="Calibri"/>
          <w:color w:val="1C1917"/>
          <w:sz w:val="22"/>
          <w:szCs w:val="22"/>
        </w:rPr>
        <w:t xml:space="preserve">Undertegnede bekræfter at have læst fortrolighedsaftalen af </w:t>
      </w:r>
      <w:r>
        <w:rPr>
          <w:rFonts w:ascii="Calibri" w:cs="Calibri" w:eastAsia="Calibri" w:hAnsi="Calibri"/>
          <w:color w:val="1C1917"/>
          <w:sz w:val="22"/>
          <w:szCs w:val="22"/>
          <w:shd w:fill="E8E6E1" w:color="auto" w:val="clear"/>
        </w:rPr>
        <w:t xml:space="preserve">[Dato]</w:t>
      </w:r>
      <w:r>
        <w:rPr>
          <w:rFonts w:ascii="Calibri" w:cs="Calibri" w:eastAsia="Calibri" w:hAnsi="Calibri"/>
          <w:color w:val="1C1917"/>
          <w:sz w:val="22"/>
          <w:szCs w:val="22"/>
        </w:rPr>
        <w:t xml:space="preserve"> mellem </w:t>
      </w:r>
      <w:r>
        <w:rPr>
          <w:rFonts w:ascii="Calibri" w:cs="Calibri" w:eastAsia="Calibri" w:hAnsi="Calibri"/>
          <w:color w:val="1C1917"/>
          <w:sz w:val="22"/>
          <w:szCs w:val="22"/>
          <w:shd w:fill="E8E6E1" w:color="auto" w:val="clear"/>
        </w:rPr>
        <w:t xml:space="preserve">[Part A]</w:t>
      </w:r>
      <w:r>
        <w:rPr>
          <w:rFonts w:ascii="Calibri" w:cs="Calibri" w:eastAsia="Calibri" w:hAnsi="Calibri"/>
          <w:color w:val="1C1917"/>
          <w:sz w:val="22"/>
          <w:szCs w:val="22"/>
        </w:rPr>
        <w:t xml:space="preserve"> og </w:t>
      </w:r>
      <w:r>
        <w:rPr>
          <w:rFonts w:ascii="Calibri" w:cs="Calibri" w:eastAsia="Calibri" w:hAnsi="Calibri"/>
          <w:color w:val="1C1917"/>
          <w:sz w:val="22"/>
          <w:szCs w:val="22"/>
          <w:shd w:fill="E8E6E1" w:color="auto" w:val="clear"/>
        </w:rPr>
        <w:t xml:space="preserve">[Part B]</w:t>
      </w:r>
      <w:r>
        <w:rPr>
          <w:rFonts w:ascii="Calibri" w:cs="Calibri" w:eastAsia="Calibri" w:hAnsi="Calibri"/>
          <w:color w:val="1C1917"/>
          <w:sz w:val="22"/>
          <w:szCs w:val="22"/>
        </w:rPr>
        <w:t xml:space="preserve"> og at være bundet af tavshedspligten og brugsbegrænsningen i aftalens afsnit 4-6 i forhold til de fortrolige oplysninger, jeg får adgang til.</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Navn</w:t>
      </w:r>
      <w:r>
        <w:t xml:space="preserve">	</w:t>
      </w:r>
      <w:r>
        <w:rPr>
          <w:rFonts w:ascii="Calibri" w:cs="Calibri" w:eastAsia="Calibri" w:hAnsi="Calibri"/>
          <w:color w:val="1C1917"/>
          <w:sz w:val="22"/>
          <w:szCs w:val="22"/>
          <w:shd w:fill="E8E6E1" w:color="auto" w:val="clear"/>
        </w:rPr>
        <w:t xml:space="preserve">[Fulde navn]</w:t>
      </w:r>
    </w:p>
    <w:p>
      <w:pPr>
        <w:pBdr>
          <w:bottom w:val="single" w:color="ECEEF0" w:sz="2"/>
        </w:pBdr>
        <w:tabs>
          <w:tab w:val="left" w:pos="2800"/>
        </w:tabs>
        <w:spacing w:after="40" w:before="40"/>
        <w:ind w:left="2800" w:hanging="2800"/>
      </w:pPr>
      <w:r>
        <w:rPr>
          <w:rFonts w:ascii="Calibri" w:cs="Calibri" w:eastAsia="Calibri" w:hAnsi="Calibri"/>
          <w:color w:val="5F6B76"/>
          <w:sz w:val="20"/>
          <w:szCs w:val="20"/>
        </w:rPr>
        <w:t xml:space="preserve">Virksomhed/stilling</w:t>
      </w:r>
      <w:r>
        <w:t xml:space="preserve">	</w:t>
      </w:r>
      <w:r>
        <w:rPr>
          <w:rFonts w:ascii="Calibri" w:cs="Calibri" w:eastAsia="Calibri" w:hAnsi="Calibri"/>
          <w:color w:val="1C1917"/>
          <w:sz w:val="22"/>
          <w:szCs w:val="22"/>
          <w:shd w:fill="E8E6E1" w:color="auto" w:val="clear"/>
        </w:rPr>
        <w:t xml:space="preserve">[Virksomhed og stilling]</w:t>
      </w:r>
    </w:p>
    <w:tbl>
      <w:tblPr>
        <w:tblW w:type="dxa" w:w="9070"/>
        <w:tblBorders>
          <w:top w:val="none" w:color="FFFFFF" w:sz="0"/>
          <w:left w:val="none" w:color="FFFFFF" w:sz="0"/>
          <w:bottom w:val="none" w:color="FFFFFF" w:sz="0"/>
          <w:right w:val="none" w:color="FFFFFF" w:sz="0"/>
          <w:insideH w:val="none" w:color="FFFFFF" w:sz="0"/>
          <w:insideV w:val="none" w:color="FFFFFF" w:sz="0"/>
        </w:tblBorders>
      </w:tblPr>
      <w:tblGrid>
        <w:gridCol w:w="4535"/>
        <w:gridCol w:w="4535"/>
      </w:tblGrid>
      <w:tr>
        <w:trPr>
          <w:cantSplit/>
        </w:trPr>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pPr>
              <w:spacing w:after="100"/>
            </w:pPr>
            <w:r>
              <w:rPr>
                <w:rFonts w:ascii="Calibri" w:cs="Calibri" w:eastAsia="Calibri" w:hAnsi="Calibri"/>
                <w:b/>
                <w:bCs/>
                <w:color w:val="28394A"/>
                <w:sz w:val="22"/>
                <w:szCs w:val="22"/>
              </w:rPr>
              <w:t xml:space="preserve">Medarbejder/rådgiver</w:t>
            </w:r>
          </w:p>
          <w:p>
            <w:pPr>
              <w:spacing w:after="600" w:line="288" w:lineRule="auto"/>
            </w:pPr>
            <w:r>
              <w:rPr>
                <w:rFonts w:ascii="Calibri" w:cs="Calibri" w:eastAsia="Calibri" w:hAnsi="Calibri"/>
                <w:color w:val="1C1917"/>
                <w:sz w:val="20"/>
                <w:szCs w:val="20"/>
              </w:rPr>
              <w:t xml:space="preserve">Sted og dato: </w:t>
            </w:r>
            <w:r>
              <w:rPr>
                <w:rFonts w:ascii="Calibri" w:cs="Calibri" w:eastAsia="Calibri" w:hAnsi="Calibri"/>
                <w:color w:val="1C1917"/>
                <w:sz w:val="20"/>
                <w:szCs w:val="20"/>
                <w:shd w:fill="E8E6E1" w:color="auto" w:val="clear"/>
              </w:rPr>
              <w:t xml:space="preserve">[Sted]</w:t>
            </w:r>
            <w:r>
              <w:rPr>
                <w:rFonts w:ascii="Calibri" w:cs="Calibri" w:eastAsia="Calibri" w:hAnsi="Calibri"/>
                <w:color w:val="1C1917"/>
                <w:sz w:val="20"/>
                <w:szCs w:val="20"/>
              </w:rPr>
              <w:t xml:space="preserve">, den </w:t>
            </w:r>
            <w:r>
              <w:rPr>
                <w:rFonts w:ascii="Calibri" w:cs="Calibri" w:eastAsia="Calibri" w:hAnsi="Calibri"/>
                <w:color w:val="1C1917"/>
                <w:sz w:val="20"/>
                <w:szCs w:val="20"/>
                <w:shd w:fill="E8E6E1" w:color="auto" w:val="clear"/>
              </w:rPr>
              <w:t xml:space="preserve">[Dato]</w:t>
            </w:r>
          </w:p>
          <w:p>
            <w:pPr>
              <w:pBdr>
                <w:bottom w:val="single" w:color="1C1917" w:sz="6"/>
              </w:pBdr>
              <w:spacing w:after="40"/>
              <w:ind w:right="360"/>
            </w:pPr>
          </w:p>
          <w:p>
            <w:pPr>
              <w:spacing w:after="40" w:line="288" w:lineRule="auto"/>
            </w:pPr>
            <w:r>
              <w:rPr>
                <w:rFonts w:ascii="Calibri" w:cs="Calibri" w:eastAsia="Calibri" w:hAnsi="Calibri"/>
                <w:color w:val="1C1917"/>
                <w:sz w:val="20"/>
                <w:szCs w:val="20"/>
                <w:shd w:fill="E8E6E1" w:color="auto" w:val="clear"/>
              </w:rPr>
              <w:t xml:space="preserve">[Navn]</w:t>
            </w:r>
          </w:p>
        </w:tc>
        <w:tc>
          <w:tcPr>
            <w:tcW w:type="dxa" w:w="4535"/>
            <w:tcBorders>
              <w:top w:val="none" w:color="FFFFFF" w:sz="0"/>
              <w:left w:val="none" w:color="FFFFFF" w:sz="0"/>
              <w:bottom w:val="none" w:color="FFFFFF" w:sz="0"/>
              <w:right w:val="none" w:color="FFFFFF" w:sz="0"/>
            </w:tcBorders>
            <w:tcMar>
              <w:top w:type="dxa" w:w="240"/>
              <w:left w:type="dxa" w:w="0"/>
              <w:bottom w:type="dxa" w:w="120"/>
              <w:right w:type="dxa" w:w="240"/>
            </w:tcMar>
          </w:tcPr>
          <w:p/>
        </w:tc>
      </w:tr>
    </w:tbl>
    <w:sectPr>
      <w:headerReference w:type="default" r:id="rId10"/>
      <w:footerReference w:type="default" r:id="rId11"/>
      <w:pgSz w:w="11906" w:h="16838" w:orient="portrait"/>
      <w:pgMar w:top="1418" w:right="1418" w:bottom="1300" w:left="1418" w:header="560" w:footer="560" w:gutter="0"/>
      <w:pgNumType w:start="1" w:fmt="decimal"/>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color w:val="5F6B76"/>
        <w:sz w:val="15"/>
        <w:szCs w:val="15"/>
      </w:rPr>
      <w:t xml:space="preserve">Vejledning - slettes før brug</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DE1" w:sz="4" w:space="6"/>
      </w:pBdr>
      <w:tabs>
        <w:tab w:val="right" w:pos="9026"/>
      </w:tabs>
    </w:pPr>
    <w:r>
      <w:rPr>
        <w:rFonts w:ascii="Calibri" w:cs="Calibri" w:eastAsia="Calibri" w:hAnsi="Calibri"/>
        <w:color w:val="5F6B76"/>
        <w:sz w:val="15"/>
        <w:szCs w:val="15"/>
      </w:rPr>
      <w:t xml:space="preserve">Skabelon fra Lovguiden  ·  </w:t>
    </w:r>
    <w:hyperlink w:history="1" r:id="rIdhyhlui6zporc39i705ktc">
      <w:r>
        <w:rPr>
          <w:rFonts w:ascii="Calibri" w:cs="Calibri" w:eastAsia="Calibri" w:hAnsi="Calibri"/>
          <w:color w:val="1E4FA3"/>
          <w:sz w:val="15"/>
          <w:szCs w:val="15"/>
          <w:u w:val="single"/>
        </w:rPr>
        <w:t xml:space="preserve">lovguiden.dk/praksisoversigt/erhverv-og-kontrakter/fortrolighedsaftale-nda</w:t>
      </w:r>
    </w:hyperlink>
    <w:r>
      <w:rPr>
        <w:rFonts w:ascii="Calibri" w:cs="Calibri" w:eastAsia="Calibri" w:hAnsi="Calibri"/>
        <w:sz w:val="15"/>
        <w:szCs w:val="15"/>
      </w:rPr>
      <w:t xml:space="preserve">	</w:t>
    </w:r>
    <w:r>
      <w:rPr>
        <w:rFonts w:ascii="Calibri" w:cs="Calibri" w:eastAsia="Calibri" w:hAnsi="Calibri"/>
        <w:color w:val="5F6B76"/>
        <w:sz w:val="15"/>
        <w:szCs w:val="15"/>
      </w:rPr>
      <w:t xml:space="preserve">Side </w:t>
    </w:r>
    <w:r>
      <w:rPr>
        <w:rFonts w:ascii="Calibri" w:cs="Calibri" w:eastAsia="Calibri" w:hAnsi="Calibri"/>
        <w:color w:val="5F6B76"/>
        <w:sz w:val="15"/>
        <w:szCs w:val="15"/>
      </w:rPr>
      <w:fldChar w:fldCharType="begin"/>
    </w:r>
    <w:r>
      <w:rPr>
        <w:rFonts w:ascii="Calibri" w:cs="Calibri" w:eastAsia="Calibri" w:hAnsi="Calibri"/>
        <w:color w:val="5F6B76"/>
        <w:sz w:val="15"/>
        <w:szCs w:val="15"/>
      </w:rPr>
      <w:instrText xml:space="preserve">PAGE</w:instrText>
    </w:r>
    <w:r>
      <w:rPr>
        <w:rFonts w:ascii="Calibri" w:cs="Calibri" w:eastAsia="Calibri" w:hAnsi="Calibri"/>
        <w:color w:val="5F6B76"/>
        <w:sz w:val="15"/>
        <w:szCs w:val="15"/>
      </w:rPr>
      <w:fldChar w:fldCharType="separate"/>
    </w:r>
    <w:r>
      <w:rPr>
        <w:rFonts w:ascii="Calibri" w:cs="Calibri" w:eastAsia="Calibri" w:hAnsi="Calibri"/>
        <w:color w:val="5F6B76"/>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gprf0tq6j_yvsg66ictb8">
      <w:r>
        <w:rPr>
          <w:rFonts w:ascii="Calibri" w:cs="Calibri" w:eastAsia="Calibri" w:hAnsi="Calibri"/>
          <w:color w:val="1E4FA3"/>
          <w:sz w:val="16"/>
          <w:szCs w:val="16"/>
          <w:u w:val="single"/>
        </w:rPr>
        <w:t xml:space="preserve">www.lovguiden.dk</w:t>
      </w:r>
    </w:hyperlink>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DE1" w:sz="4" w:space="6"/>
      </w:pBdr>
      <w:tabs>
        <w:tab w:val="right" w:pos="9026"/>
      </w:tabs>
    </w:pPr>
    <w:r>
      <w:drawing>
        <wp:inline distT="0" distB="0" distL="0" distR="0">
          <wp:extent cx="1047750" cy="285750"/>
          <wp:effectExtent t="0" r="0" b="0" l="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285750"/>
                  </a:xfrm>
                  <a:prstGeom prst="rect">
                    <a:avLst/>
                  </a:prstGeom>
                </pic:spPr>
              </pic:pic>
            </a:graphicData>
          </a:graphic>
        </wp:inline>
      </w:drawing>
    </w:r>
    <w:r>
      <w:t xml:space="preserve">	</w:t>
    </w:r>
    <w:hyperlink w:history="1" r:id="rIdbptjbd0cirjscqmzbqpj4">
      <w:r>
        <w:rPr>
          <w:rFonts w:ascii="Calibri" w:cs="Calibri" w:eastAsia="Calibri" w:hAnsi="Calibri"/>
          <w:color w:val="1E4FA3"/>
          <w:sz w:val="16"/>
          <w:szCs w:val="16"/>
          <w:u w:val="single"/>
        </w:rPr>
        <w:t xml:space="preserve">www.lovguiden.dk</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C1917"/>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eader" Target="header2.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footer" Target="footer3.xml"/><Relationship Id="rId12" Type="http://schemas.openxmlformats.org/officeDocument/2006/relationships/theme" Target="theme/theme1.xml"/><Relationship Id="rIdq_u24cqtwglwfao-bhw-g" Type="http://schemas.openxmlformats.org/officeDocument/2006/relationships/hyperlink" Target="https://www.lovguiden.dk" TargetMode="External"/><Relationship Id="rIdvqp6n8y3xvjm8rn9hco-8" Type="http://schemas.openxmlformats.org/officeDocument/2006/relationships/hyperlink" Target="https://www.lovguiden.dk/praksisoversigt/erhverv-og-kontrakter/fortrolighedsaftale-nda" TargetMode="External"/><Relationship Id="rIdd20jiusuw652sthjpshan" Type="http://schemas.openxmlformats.org/officeDocument/2006/relationships/hyperlink" Target="https://www.lovguiden.dk/praksisoversigt/erhverv-og-kontrakter/fortrolighedsaftale-nda" TargetMode="External"/><Relationship Id="rId16" Type="http://schemas.openxmlformats.org/officeDocument/2006/relationships/image" Target="media/e34fde046ec96b6137abb248ac26a17e8220ff7b.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Relationship Id="rIdhyhlui6zporc39i705ktc" Type="http://schemas.openxmlformats.org/officeDocument/2006/relationships/hyperlink" Target="https://www.lovguiden.dk/praksisoversigt/erhverv-og-kontrakter/fortrolighedsaftale-nda"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Relationship Id="rIdgprf0tq6j_yvsg66ictb8"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_rels/header3.xml.rels><?xml version="1.0" encoding="UTF-8"?><Relationships xmlns="http://schemas.openxmlformats.org/package/2006/relationships"><Relationship Id="rIdbptjbd0cirjscqmzbqpj4" Type="http://schemas.openxmlformats.org/officeDocument/2006/relationships/hyperlink" Target="https://www.lovguiden.dk" TargetMode="External"/><Relationship Id="rId0" Type="http://schemas.openxmlformats.org/officeDocument/2006/relationships/image" Target="media/e34fde046ec96b6137abb248ac26a17e8220ff7b.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Fortrolighedsaftale</dc:title>
  <dc:creator>Lovguiden</dc:creator>
  <cp:lastModifiedBy>Un-named</cp:lastModifiedBy>
  <cp:revision>1</cp:revision>
  <dcterms:created xsi:type="dcterms:W3CDTF">2026-10-27T14:06:18.158Z</dcterms:created>
  <dcterms:modified xsi:type="dcterms:W3CDTF">2026-10-27T14:06:18.158Z</dcterms:modified>
</cp:coreProperties>
</file>

<file path=docProps/custom.xml><?xml version="1.0" encoding="utf-8"?>
<Properties xmlns="http://schemas.openxmlformats.org/officeDocument/2006/custom-properties" xmlns:vt="http://schemas.openxmlformats.org/officeDocument/2006/docPropsVTypes"/>
</file>