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ERHVERVSKONTRAKTER</w:t>
      </w:r>
    </w:p>
    <w:p>
      <w:pPr>
        <w:spacing w:after="120" w:before="60" w:line="300" w:lineRule="auto"/>
      </w:pPr>
      <w:r>
        <w:rPr>
          <w:rFonts w:ascii="Calibri" w:cs="Calibri" w:eastAsia="Calibri" w:hAnsi="Calibri"/>
          <w:b/>
          <w:bCs/>
          <w:color w:val="28394A"/>
          <w:sz w:val="64"/>
          <w:szCs w:val="64"/>
        </w:rPr>
        <w:t xml:space="preserve">Gældsbrev</w:t>
      </w:r>
    </w:p>
    <w:p>
      <w:pPr>
        <w:spacing w:after="200" w:line="288" w:lineRule="auto"/>
      </w:pPr>
      <w:r>
        <w:rPr>
          <w:rFonts w:ascii="Calibri" w:cs="Calibri" w:eastAsia="Calibri" w:hAnsi="Calibri"/>
          <w:color w:val="5F6B76"/>
          <w:sz w:val="26"/>
          <w:szCs w:val="26"/>
        </w:rPr>
        <w:t xml:space="preserve">Simpelt gældsbrev - ikke til ordre</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Et gældsbrev er en skriftlig erkendelse af, at skyldneren skylder kreditor et bestemt beløb. Skabelonen passer til lån mellem privatpersoner, fx familielån, og til lån mellem virksomheder eller fra en ejer til eget selskab.</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liredn4l-4jyh5z37oecr">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4tvcwkg7xigqqyaz1m6i1">
              <w:r>
                <w:rPr>
                  <w:rFonts w:ascii="Calibri" w:cs="Calibri" w:eastAsia="Calibri" w:hAnsi="Calibri"/>
                  <w:color w:val="1E4FA3"/>
                  <w:sz w:val="20"/>
                  <w:szCs w:val="20"/>
                  <w:u w:val="single"/>
                </w:rPr>
                <w:t xml:space="preserve">lovguiden.dk/praksisoversigt/erhverv-og-kontrakter/gaeldsbrev</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er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egnet, når en erhvervsdrivende yder kredit til en forbruger. Her gælder kreditaftalelovens krav til form og indhold, og kreditaftalen må ikke have årlige omkostninger i procent (ÅOP) over 35 pct. eller samlede omkostninger over 100 pct. af kreditbeløbet (lov om forbrugslånsvirksomheder §§ 11 a og 11 b). Brug heller ikke skabelonen til lån med pant i fast ejendom - det kræver et pantebrev, der tinglyses.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Med en </w:t>
      </w:r>
      <w:r>
        <w:rPr>
          <w:rFonts w:ascii="Calibri" w:cs="Calibri" w:eastAsia="Calibri" w:hAnsi="Calibri"/>
          <w:b/>
          <w:bCs/>
          <w:color w:val="3F3A33"/>
          <w:sz w:val="19"/>
          <w:szCs w:val="19"/>
        </w:rPr>
        <w:t xml:space="preserve">fuldbyrdelsesklausul</w:t>
      </w:r>
      <w:r>
        <w:rPr>
          <w:rFonts w:ascii="Calibri" w:cs="Calibri" w:eastAsia="Calibri" w:hAnsi="Calibri"/>
          <w:color w:val="3F3A33"/>
          <w:sz w:val="19"/>
          <w:szCs w:val="19"/>
        </w:rPr>
        <w:t xml:space="preserve"> (afsnit 8) kan kreditor gå direkte til fogedretten, hvis skyldneren ikke betaler. Uden klausulen skal kreditor først have en dom eller et betalingspåkrav. Klausulen virker over for alle, der har underskrevet selve gældsbrevet som skyldner eller selvskyldnerkautionist - derfor skriver en eventuel kautionist under på dette dokument og ikke på en separat erklæring.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Kreditor skal opbevare </w:t>
      </w:r>
      <w:r>
        <w:rPr>
          <w:rFonts w:ascii="Calibri" w:cs="Calibri" w:eastAsia="Calibri" w:hAnsi="Calibri"/>
          <w:b/>
          <w:bCs/>
          <w:color w:val="3F3A33"/>
          <w:sz w:val="19"/>
          <w:szCs w:val="19"/>
        </w:rPr>
        <w:t xml:space="preserve">originalen</w:t>
      </w:r>
      <w:r>
        <w:rPr>
          <w:rFonts w:ascii="Calibri" w:cs="Calibri" w:eastAsia="Calibri" w:hAnsi="Calibri"/>
          <w:color w:val="3F3A33"/>
          <w:sz w:val="19"/>
          <w:szCs w:val="19"/>
        </w:rPr>
        <w:t xml:space="preserve">. Fogedretten kræver originalen ved tvangsfuldbyrdelse, og ved fuld indfrielse skal skyldneren have den tilbage eller have den kvitteret.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Familielån: Skattestyrelsen anerkender kun et lån, hvis det er reelt - der skal være et gældsbrev, pengene skal overføres via bank, og afdrag eller rente skal betales som aftalt. Eftergives lånet helt eller delvist, er eftergivelsen en gave. Mellem nærtstående kan den udløse gaveafgift ud over det gældende bundfradrag; mellem andre er den som udgangspunkt skattepligtig indkomst (se skat.dk/gaver).</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fuldbyrdelsesklausulen mangler; kautionisten skriver kun under på et separat dokument; originalen bliver væk; et anfordringslån bliver forældet, fordi fristen løber fra udbetalingen; et familielån med en på forhånd aftalt eftergivelse eller en klausul om, at gælden bortfalder ved død.</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Gældsbrevsloven §§ 2, 3, 5, 11, 21, 26 og 31 (flere skyldnere, betalingssted, forfald, simple gældsbreve, kvittering og transport).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Retsplejeloven § 478, stk. 1, nr. 5, og stk. 4, samt §§ 484, 486 og 488 (fuldbyrdelsesklausul, frist og original).</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Renteloven §§ 3 og 5 (morarente, når intet andet er aftalt).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Forældelsesloven §§ 3 og 5 (3-årig og 10-årig forældelse).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Renteloven §§ 7 og 9 b (morarente over for forbrugere, rykkergebyrer) og inkassoloven § 10 (påkrav med mindst 10 dages frist før inkasso).</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forbrugslånsvirksomheder §§ 11 a og 11 b (loft over ÅOP og samlede omkostninger ved kredit til forbrugere).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Boafgiftsloven §§ 22-27 og arveloven (gaveafgift ved eftergivelse; dødsdispositioner kræver testamente).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Skattestyrelsen, Den juridiske vejledning C.A.6.1.7 (rentefri og lavt forrentede lån) og skat.dk/gaver.</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g_hle8u_kligi54y_jizy">
        <w:r>
          <w:rPr>
            <w:rFonts w:ascii="Calibri" w:cs="Calibri" w:eastAsia="Calibri" w:hAnsi="Calibri"/>
            <w:color w:val="1E4FA3"/>
            <w:sz w:val="20"/>
            <w:szCs w:val="20"/>
            <w:u w:val="single"/>
          </w:rPr>
          <w:t xml:space="preserve">lovguiden.dk/praksisoversigt/erhverv-og-kontrakter/gaeldsbrev</w:t>
        </w:r>
      </w:hyperlink>
    </w:p>
    <w:p>
      <w:pPr>
        <w:spacing w:after="80"/>
      </w:pPr>
      <w:r>
        <w:rPr>
          <w:rFonts w:ascii="Calibri" w:cs="Calibri" w:eastAsia="Calibri" w:hAnsi="Calibri"/>
          <w:b/>
          <w:bCs/>
          <w:color w:val="28394A"/>
          <w:sz w:val="44"/>
          <w:szCs w:val="44"/>
        </w:rPr>
        <w:t xml:space="preserve">Gældsbrev</w:t>
      </w:r>
    </w:p>
    <w:p>
      <w:pPr>
        <w:spacing w:after="120" w:line="288" w:lineRule="auto"/>
      </w:pPr>
      <w:r>
        <w:rPr>
          <w:rFonts w:ascii="Calibri" w:cs="Calibri" w:eastAsia="Calibri" w:hAnsi="Calibri"/>
          <w:color w:val="5F6B76"/>
          <w:sz w:val="22"/>
          <w:szCs w:val="22"/>
        </w:rPr>
        <w:t xml:space="preserve">Simpelt gældsbrev - ikke til ordre</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Skyldner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 / virksomhedsnavn]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[CPR-/CVR-nr.]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Medskyldner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[CPR-/CVR-nr.]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spacing w:after="80" w:before="220"/>
      </w:pPr>
      <w:r>
        <w:rPr>
          <w:rFonts w:ascii="Calibri" w:cs="Calibri" w:eastAsia="Calibri" w:hAnsi="Calibri"/>
          <w:b/>
          <w:bCs/>
          <w:color w:val="28394A"/>
          <w:sz w:val="22"/>
          <w:szCs w:val="22"/>
        </w:rPr>
        <w:t xml:space="preserve">Kreditor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 / virksomhedsnavn]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[CPR-/CVR-nr.]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der flere skyldnere, hæfter de solidarisk - kreditor kan kræve hele beløbet af hver af dem (gældsbrevsloven § 2). Slet medskyldner-feltet, hvis der kun er én skyldner.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Gældserkendelse</w:t>
      </w:r>
    </w:p>
    <w:p>
      <w:pPr>
        <w:spacing w:after="120" w:line="288" w:lineRule="auto"/>
      </w:pPr>
      <w:r>
        <w:rPr>
          <w:rFonts w:ascii="Calibri" w:cs="Calibri" w:eastAsia="Calibri" w:hAnsi="Calibri"/>
          <w:color w:val="1C1917"/>
          <w:sz w:val="22"/>
          <w:szCs w:val="22"/>
        </w:rPr>
        <w:t xml:space="preserve">Undertegnede skyldner erkender herved at skylde kreditor kr. </w:t>
      </w:r>
      <w:r>
        <w:rPr>
          <w:rFonts w:ascii="Calibri" w:cs="Calibri" w:eastAsia="Calibri" w:hAnsi="Calibri"/>
          <w:color w:val="1C1917"/>
          <w:sz w:val="22"/>
          <w:szCs w:val="22"/>
          <w:shd w:fill="E8E6E1" w:color="auto" w:val="clear"/>
        </w:rPr>
        <w:t xml:space="preserve">[Beløb i tal]</w:t>
      </w:r>
      <w:r>
        <w:rPr>
          <w:rFonts w:ascii="Calibri" w:cs="Calibri" w:eastAsia="Calibri" w:hAnsi="Calibri"/>
          <w:color w:val="1C1917"/>
          <w:sz w:val="22"/>
          <w:szCs w:val="22"/>
        </w:rPr>
        <w:t xml:space="preserve"> (skrevet med bogstaver: </w:t>
      </w:r>
      <w:r>
        <w:rPr>
          <w:rFonts w:ascii="Calibri" w:cs="Calibri" w:eastAsia="Calibri" w:hAnsi="Calibri"/>
          <w:color w:val="1C1917"/>
          <w:sz w:val="22"/>
          <w:szCs w:val="22"/>
          <w:shd w:fill="E8E6E1" w:color="auto" w:val="clear"/>
        </w:rPr>
        <w:t xml:space="preserve">[Beløb med bogstaver]</w:t>
      </w:r>
      <w:r>
        <w:rPr>
          <w:rFonts w:ascii="Calibri" w:cs="Calibri" w:eastAsia="Calibri" w:hAnsi="Calibri"/>
          <w:color w:val="1C1917"/>
          <w:sz w:val="22"/>
          <w:szCs w:val="22"/>
        </w:rPr>
        <w:t xml:space="preserve"> kroner).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Beløbet skal være fast og ubetinget. Skriv det både med tal og bogstaver, så der ikke kan opstå tvivl.</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Udbetaling</w:t>
      </w:r>
    </w:p>
    <w:p>
      <w:pPr>
        <w:spacing w:after="120" w:line="288" w:lineRule="auto"/>
      </w:pPr>
      <w:r>
        <w:rPr>
          <w:rFonts w:ascii="Calibri" w:cs="Calibri" w:eastAsia="Calibri" w:hAnsi="Calibri"/>
          <w:color w:val="1C1917"/>
          <w:sz w:val="22"/>
          <w:szCs w:val="22"/>
        </w:rPr>
        <w:t xml:space="preserve">Lånet er udbetalt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ved overførsel fra kreditors konto </w:t>
      </w:r>
      <w:r>
        <w:rPr>
          <w:rFonts w:ascii="Calibri" w:cs="Calibri" w:eastAsia="Calibri" w:hAnsi="Calibri"/>
          <w:color w:val="1C1917"/>
          <w:sz w:val="22"/>
          <w:szCs w:val="22"/>
          <w:shd w:fill="E8E6E1" w:color="auto" w:val="clear"/>
        </w:rPr>
        <w:t xml:space="preserve">[Reg.nr./kontonr.]</w:t>
      </w:r>
      <w:r>
        <w:rPr>
          <w:rFonts w:ascii="Calibri" w:cs="Calibri" w:eastAsia="Calibri" w:hAnsi="Calibri"/>
          <w:color w:val="1C1917"/>
          <w:sz w:val="22"/>
          <w:szCs w:val="22"/>
        </w:rPr>
        <w:t xml:space="preserve"> til skyldners konto </w:t>
      </w:r>
      <w:r>
        <w:rPr>
          <w:rFonts w:ascii="Calibri" w:cs="Calibri" w:eastAsia="Calibri" w:hAnsi="Calibri"/>
          <w:color w:val="1C1917"/>
          <w:sz w:val="22"/>
          <w:szCs w:val="22"/>
          <w:shd w:fill="E8E6E1" w:color="auto" w:val="clear"/>
        </w:rPr>
        <w:t xml:space="preserve">[Reg.nr./kontonr.]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Lånet er ydet til: </w:t>
      </w:r>
      <w:r>
        <w:rPr>
          <w:rFonts w:ascii="Calibri" w:cs="Calibri" w:eastAsia="Calibri" w:hAnsi="Calibri"/>
          <w:color w:val="1C1917"/>
          <w:sz w:val="22"/>
          <w:szCs w:val="22"/>
          <w:shd w:fill="E8E6E1" w:color="auto" w:val="clear"/>
        </w:rPr>
        <w:t xml:space="preserve">[Formål, fx køb af bolig - valgfrit]</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Overfør altid beløbet via bank, så udbetalingen kan dokumenteres. Kontanter er svære at bevise og svækker et familielån over for Skattestyrelsen.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Rente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Lånet er rentefrit.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Lånet forrentes med en fast rente på </w:t>
      </w:r>
      <w:r>
        <w:rPr>
          <w:rFonts w:ascii="Calibri" w:cs="Calibri" w:eastAsia="Calibri" w:hAnsi="Calibri"/>
          <w:color w:val="1C1917"/>
          <w:sz w:val="22"/>
          <w:szCs w:val="22"/>
          <w:shd w:fill="E8E6E1" w:color="auto" w:val="clear"/>
        </w:rPr>
        <w:t xml:space="preserve">[Sats]</w:t>
      </w:r>
      <w:r>
        <w:rPr>
          <w:rFonts w:ascii="Calibri" w:cs="Calibri" w:eastAsia="Calibri" w:hAnsi="Calibri"/>
          <w:color w:val="1C1917"/>
          <w:sz w:val="22"/>
          <w:szCs w:val="22"/>
        </w:rPr>
        <w:t xml:space="preserve"> % p.a. Renten beregnes af den til enhver tid værende restgæld og betales </w:t>
      </w:r>
      <w:r>
        <w:rPr>
          <w:rFonts w:ascii="Calibri" w:cs="Calibri" w:eastAsia="Calibri" w:hAnsi="Calibri"/>
          <w:color w:val="1C1917"/>
          <w:sz w:val="22"/>
          <w:szCs w:val="22"/>
          <w:shd w:fill="E8E6E1" w:color="auto" w:val="clear"/>
        </w:rPr>
        <w:t xml:space="preserve">[månedsvis / kvartalsvis / årligt]</w:t>
      </w:r>
      <w:r>
        <w:rPr>
          <w:rFonts w:ascii="Calibri" w:cs="Calibri" w:eastAsia="Calibri" w:hAnsi="Calibri"/>
          <w:color w:val="1C1917"/>
          <w:sz w:val="22"/>
          <w:szCs w:val="22"/>
        </w:rPr>
        <w:t xml:space="preserve"> bagud, første gang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Lånet forrentes med en variabel rente svarende til </w:t>
      </w:r>
      <w:r>
        <w:rPr>
          <w:rFonts w:ascii="Calibri" w:cs="Calibri" w:eastAsia="Calibri" w:hAnsi="Calibri"/>
          <w:color w:val="1C1917"/>
          <w:sz w:val="22"/>
          <w:szCs w:val="22"/>
          <w:shd w:fill="E8E6E1" w:color="auto" w:val="clear"/>
        </w:rPr>
        <w:t xml:space="preserve">[Referencerente, fx Nationalbankens udlånsrente]</w:t>
      </w:r>
      <w:r>
        <w:rPr>
          <w:rFonts w:ascii="Calibri" w:cs="Calibri" w:eastAsia="Calibri" w:hAnsi="Calibri"/>
          <w:color w:val="1C1917"/>
          <w:sz w:val="22"/>
          <w:szCs w:val="22"/>
        </w:rPr>
        <w:t xml:space="preserve"> med tillæg af </w:t>
      </w:r>
      <w:r>
        <w:rPr>
          <w:rFonts w:ascii="Calibri" w:cs="Calibri" w:eastAsia="Calibri" w:hAnsi="Calibri"/>
          <w:color w:val="1C1917"/>
          <w:sz w:val="22"/>
          <w:szCs w:val="22"/>
          <w:shd w:fill="E8E6E1" w:color="auto" w:val="clear"/>
        </w:rPr>
        <w:t xml:space="preserve">[Sats]</w:t>
      </w:r>
      <w:r>
        <w:rPr>
          <w:rFonts w:ascii="Calibri" w:cs="Calibri" w:eastAsia="Calibri" w:hAnsi="Calibri"/>
          <w:color w:val="1C1917"/>
          <w:sz w:val="22"/>
          <w:szCs w:val="22"/>
        </w:rPr>
        <w:t xml:space="preserve"> procentpoint p.a. Renten beregnes af den til enhver tid værende restgæld og betales </w:t>
      </w:r>
      <w:r>
        <w:rPr>
          <w:rFonts w:ascii="Calibri" w:cs="Calibri" w:eastAsia="Calibri" w:hAnsi="Calibri"/>
          <w:color w:val="1C1917"/>
          <w:sz w:val="22"/>
          <w:szCs w:val="22"/>
          <w:shd w:fill="E8E6E1" w:color="auto" w:val="clear"/>
        </w:rPr>
        <w:t xml:space="preserve">[månedsvis / kvartalsvis / årligt]</w:t>
      </w:r>
      <w:r>
        <w:rPr>
          <w:rFonts w:ascii="Calibri" w:cs="Calibri" w:eastAsia="Calibri" w:hAnsi="Calibri"/>
          <w:color w:val="1C1917"/>
          <w:sz w:val="22"/>
          <w:szCs w:val="22"/>
        </w:rPr>
        <w:t xml:space="preserve"> bagud.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Et rentefrit lån mellem nærtstående er tilladt. Rentefordelen beskattes som udgangspunkt ikke mellem nærtstående (Den juridiske vejledning C.A.6.1.7), men tjek vejledningen, hvis lånet er stort eller har lang løbetid. Aftalt rente skal også faktisk betales.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Tilbagebetaling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Anfordringslån: Lånet forfalder til fuld indfrielse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at kreditor skriftligt har krævet det betalt.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Afdragslån: Lånet tilbagebetales med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hver </w:t>
      </w:r>
      <w:r>
        <w:rPr>
          <w:rFonts w:ascii="Calibri" w:cs="Calibri" w:eastAsia="Calibri" w:hAnsi="Calibri"/>
          <w:color w:val="1C1917"/>
          <w:sz w:val="22"/>
          <w:szCs w:val="22"/>
          <w:shd w:fill="E8E6E1" w:color="auto" w:val="clear"/>
        </w:rPr>
        <w:t xml:space="preserve">[måned / kvartal / år]</w:t>
      </w:r>
      <w:r>
        <w:rPr>
          <w:rFonts w:ascii="Calibri" w:cs="Calibri" w:eastAsia="Calibri" w:hAnsi="Calibri"/>
          <w:color w:val="1C1917"/>
          <w:sz w:val="22"/>
          <w:szCs w:val="22"/>
        </w:rPr>
        <w:t xml:space="preserve">, første gang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og sidste gang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Afdragene er </w:t>
      </w:r>
      <w:r>
        <w:rPr>
          <w:rFonts w:ascii="Calibri" w:cs="Calibri" w:eastAsia="Calibri" w:hAnsi="Calibri"/>
          <w:color w:val="1C1917"/>
          <w:sz w:val="22"/>
          <w:szCs w:val="22"/>
          <w:shd w:fill="E8E6E1" w:color="auto" w:val="clear"/>
        </w:rPr>
        <w:t xml:space="preserve">[inkl. / ekskl.]</w:t>
      </w:r>
      <w:r>
        <w:rPr>
          <w:rFonts w:ascii="Calibri" w:cs="Calibri" w:eastAsia="Calibri" w:hAnsi="Calibri"/>
          <w:color w:val="1C1917"/>
          <w:sz w:val="22"/>
          <w:szCs w:val="22"/>
        </w:rPr>
        <w:t xml:space="preserve"> rente.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Engangsindfrielse: Lånet tilbagebetales fuldt ud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Skyldner kan til enhver tid indfri lånet helt eller delvist uden gebyr. Ekstraordinære indbetalinger nedskriver </w:t>
      </w:r>
      <w:r>
        <w:rPr>
          <w:rFonts w:ascii="Calibri" w:cs="Calibri" w:eastAsia="Calibri" w:hAnsi="Calibri"/>
          <w:color w:val="1C1917"/>
          <w:sz w:val="22"/>
          <w:szCs w:val="22"/>
          <w:shd w:fill="E8E6E1" w:color="auto" w:val="clear"/>
        </w:rPr>
        <w:t xml:space="preserve">[restgælden / de sidste afdrag]</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Gæld efter et gældsbrev forældes efter 10 år, men renter forældes efter 3 år (forældelsesloven §§ 3 og 5). Ved et anfordringslån løber fristen allerede fra det tidspunkt, hvor kreditor tidligst kunne kræve betaling - ikke fra et senere påkrav. Få derfor med jævne mellemrum en skriftlig erkendelse af gælden, fx en underskrevet saldoopgørelse; det afbryder forældelsen. En afdragsplan kan vedlægges som bilag.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Betalingssted</w:t>
      </w:r>
    </w:p>
    <w:p>
      <w:pPr>
        <w:spacing w:after="120" w:line="288" w:lineRule="auto"/>
      </w:pPr>
      <w:r>
        <w:rPr>
          <w:rFonts w:ascii="Calibri" w:cs="Calibri" w:eastAsia="Calibri" w:hAnsi="Calibri"/>
          <w:color w:val="1C1917"/>
          <w:sz w:val="22"/>
          <w:szCs w:val="22"/>
        </w:rPr>
        <w:t xml:space="preserve">Alle betalinger sker til kreditors konto </w:t>
      </w:r>
      <w:r>
        <w:rPr>
          <w:rFonts w:ascii="Calibri" w:cs="Calibri" w:eastAsia="Calibri" w:hAnsi="Calibri"/>
          <w:color w:val="1C1917"/>
          <w:sz w:val="22"/>
          <w:szCs w:val="22"/>
          <w:shd w:fill="E8E6E1" w:color="auto" w:val="clear"/>
        </w:rPr>
        <w:t xml:space="preserve">[Reg.nr./kontonr.]</w:t>
      </w:r>
      <w:r>
        <w:rPr>
          <w:rFonts w:ascii="Calibri" w:cs="Calibri" w:eastAsia="Calibri" w:hAnsi="Calibri"/>
          <w:color w:val="1C1917"/>
          <w:sz w:val="22"/>
          <w:szCs w:val="22"/>
        </w:rPr>
        <w:t xml:space="preserve"> eller til en anden konto, som kreditor skriftligt oplyser.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Misligholdelse</w:t>
      </w:r>
    </w:p>
    <w:p>
      <w:pPr>
        <w:spacing w:after="120" w:line="288" w:lineRule="auto"/>
      </w:pPr>
      <w:r>
        <w:rPr>
          <w:rFonts w:ascii="Calibri" w:cs="Calibri" w:eastAsia="Calibri" w:hAnsi="Calibri"/>
          <w:color w:val="1C1917"/>
          <w:sz w:val="22"/>
          <w:szCs w:val="22"/>
        </w:rPr>
        <w:t xml:space="preserve">Hele restgælden forfalder straks til betaling uden varsel, hvis:</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et afdrag eller en rentebetaling ikke er betalt senest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at kreditor har sendt skriftlig rykker,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skyldner tages under konkursbehandling, indleder rekonstruktion eller søger gældssanering, eller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[Andre forfaldsgrunde, fx skyldner flytter til udlandet uden at stille sikkerhed]</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Ved forsinket betaling betaler skyldner morarente </w:t>
      </w:r>
      <w:r>
        <w:rPr>
          <w:rFonts w:ascii="Calibri" w:cs="Calibri" w:eastAsia="Calibri" w:hAnsi="Calibri"/>
          <w:color w:val="1C1917"/>
          <w:sz w:val="22"/>
          <w:szCs w:val="22"/>
          <w:shd w:fill="E8E6E1" w:color="auto" w:val="clear"/>
        </w:rPr>
        <w:t xml:space="preserve">[efter rentelovens regler / med (Sats) % p.a.]</w:t>
      </w:r>
      <w:r>
        <w:rPr>
          <w:rFonts w:ascii="Calibri" w:cs="Calibri" w:eastAsia="Calibri" w:hAnsi="Calibri"/>
          <w:color w:val="1C1917"/>
          <w:sz w:val="22"/>
          <w:szCs w:val="22"/>
        </w:rPr>
        <w:t xml:space="preserve"> fra forfaldsdagen, til betaling sker.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Er der ikke aftalt en morarente, gælder renteloven: Nationalbankens udlånsrente (referencesatsen) plus 8 procentpoint fra forfaldsdagen (§§ 3 og 5). Er der ingen fast forfaldsdag, løber renten fra 30 dage efter, at kreditor har sendt påkrav. Låner en erhvervsdrivende ud til en forbruger, kan der ikke aftales en højere morarente end rentelovens (§ 7). Rykkergebyrer er begrænset af renteloven § 9 b, og før et inkassobureau eller en advokat må inddrive kravet, skal skyldner have et påkrav med mindst 10 dages frist (inkassoloven § 10).</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Fuldbyrdelse (valgfrit)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Dette gældsbrev kan tjene som grundlag for tvangsfuldbyrdelse, jf. retsplejelovens § 478, stk. 1, nr. 5. Anmodning om tvangsfuldbyrdelse kan fremsættes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forfald.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Gældsbrevet indeholder ikke en fuldbyrdelsesklausul.</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Klausulen skal stå udtrykkeligt i dokumentet (retsplejeloven § 478, stk. 1, nr. 5). Den gælder over for alle, der har underskrevet gældsbrevet som skyldner eller selvskyldnerkautionist (§ 478, stk. 4). Aftales der ingen frist, kan fogedretten først kontaktes 14 dage efter forfald. Parterne kan aftale en kortere frist, men den kan ikke være under 4 søgnedage (§ 484). Fogedretten kræver originalt gældsbrev (§ 488).</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Transport</w:t>
      </w:r>
    </w:p>
    <w:p>
      <w:pPr>
        <w:spacing w:after="120" w:line="288" w:lineRule="auto"/>
      </w:pPr>
      <w:r>
        <w:rPr>
          <w:rFonts w:ascii="Calibri" w:cs="Calibri" w:eastAsia="Calibri" w:hAnsi="Calibri"/>
          <w:color w:val="1C1917"/>
          <w:sz w:val="22"/>
          <w:szCs w:val="22"/>
        </w:rPr>
        <w:t xml:space="preserve">Gældsbrevet er et simpelt gældsbrev og er ikke til ordre. Skyldner kan med frigørende virkning betale til kreditor, indtil skyldner har fået skriftlig meddelelse om, at gældsbrevet er overdraget.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Et simpelt gældsbrev er det sikre valg mellem private. Ved et omsætningsgældsbrev ("til ordre" eller til ihændehaver) kan skyldner miste sine indsigelser over for en ny ejer af gældsbrevet og risikere at betale to gange, hvis der betales til den forkerte.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Kaution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Kautionist</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CPR-/CVR-nr.</w:t>
      </w:r>
      <w:r>
        <w:t xml:space="preserve">	</w:t>
      </w:r>
      <w:r>
        <w:rPr>
          <w:rFonts w:ascii="Calibri" w:cs="Calibri" w:eastAsia="Calibri" w:hAnsi="Calibri"/>
          <w:color w:val="1C1917"/>
          <w:sz w:val="22"/>
          <w:szCs w:val="22"/>
          <w:shd w:fill="E8E6E1" w:color="auto" w:val="clear"/>
        </w:rPr>
        <w:t xml:space="preserve">[CPR-/CVR-nr.]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Maksimum</w:t>
      </w:r>
      <w:r>
        <w:t xml:space="preserve">	</w:t>
      </w:r>
      <w:r>
        <w:rPr>
          <w:rFonts w:ascii="Calibri" w:cs="Calibri" w:eastAsia="Calibri" w:hAnsi="Calibri"/>
          <w:color w:val="1C1917"/>
          <w:sz w:val="22"/>
          <w:szCs w:val="22"/>
        </w:rPr>
        <w:t xml:space="preserve">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med tillæg af renter og omkostninger, dog højst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i alt</w:t>
      </w:r>
    </w:p>
    <w:p>
      <w:pPr>
        <w:spacing w:after="120" w:line="288" w:lineRule="auto"/>
      </w:pPr>
      <w:r>
        <w:rPr>
          <w:rFonts w:ascii="Calibri" w:cs="Calibri" w:eastAsia="Calibri" w:hAnsi="Calibri"/>
          <w:color w:val="1C1917"/>
          <w:sz w:val="22"/>
          <w:szCs w:val="22"/>
        </w:rPr>
        <w:t xml:space="preserve">Kautionisten tiltræder herved gældsbrevet som selvskyldnerkautionist for skyldners forpligtelser efter gældsbrevet inden for ovennævnte maksimum.</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Som selvskyldnerkautionist kan kautionisten blive krævet for hele beløbet, så snart skyldneren ikke betaler til tiden - kreditor skal ikke først forsøge at inddrive gælden hos skyldneren. Kautionisten bør derfor kende lånets vilkår og skyldnerens økonomi. Brug evt. skabelonen "Kautionserklæring" som supplement til at aftale kreditors oplysningspligt. Slet afsnittet, hvis der ikke er kaution.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Familielån (valgfrit)</w:t>
      </w:r>
    </w:p>
    <w:p>
      <w:pPr>
        <w:spacing w:after="120" w:line="288" w:lineRule="auto"/>
      </w:pPr>
      <w:r>
        <w:rPr>
          <w:rFonts w:ascii="Calibri" w:cs="Calibri" w:eastAsia="Calibri" w:hAnsi="Calibri"/>
          <w:color w:val="1C1917"/>
          <w:sz w:val="22"/>
          <w:szCs w:val="22"/>
        </w:rPr>
        <w:t xml:space="preserve">Lånet er et reelt lån. Der er ikke aftalt eftergivelse af gælden. En eventuel eftergivelse sker ved en særskilt skriftlig aftale og anmeldes til Skattestyrelsen efter reglerne om gaveafgift.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Skriv ikke i gældsbrevet, at gælden bortfalder ved kreditors død. Det er en dødsdisposition, som kun er gyldig, hvis den oprettes som testamente. Ønsker kreditor at eftergive gæld løbende, bruges et gavebrev for hver eftergivelse - inden for det gældende bundfradrag, eller med anmeldelse og gaveafgift.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Kvittering og indfrielse</w:t>
      </w:r>
    </w:p>
    <w:p>
      <w:pPr>
        <w:spacing w:after="120" w:line="288" w:lineRule="auto"/>
      </w:pPr>
      <w:r>
        <w:rPr>
          <w:rFonts w:ascii="Calibri" w:cs="Calibri" w:eastAsia="Calibri" w:hAnsi="Calibri"/>
          <w:color w:val="1C1917"/>
          <w:sz w:val="22"/>
          <w:szCs w:val="22"/>
        </w:rPr>
        <w:t xml:space="preserve">Betalinger noteres på en betalingsoversigt, som begge parter har en kopi af. Når gælden er betalt fuldt ud, giver kreditor skyldner det originale gældsbrev tilbage med påtegningen "indfriet" og kreditors underskrift.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Skyldner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Medskyldner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Selvskyldnerkautionist</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spacing w:after="120" w:line="288" w:lineRule="auto"/>
      </w:pPr>
      <w:r>
        <w:rPr>
          <w:rFonts w:ascii="Calibri" w:cs="Calibri" w:eastAsia="Calibri" w:hAnsi="Calibri"/>
          <w:color w:val="1C1917"/>
          <w:sz w:val="22"/>
          <w:szCs w:val="22"/>
        </w:rPr>
        <w:t xml:space="preserve">Gældsbrevet er modtaget i original af kreditor.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Kreditor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spacing w:after="100" w:before="360"/>
      </w:pPr>
      <w:r>
        <w:rPr>
          <w:rFonts w:ascii="Calibri" w:cs="Calibri" w:eastAsia="Calibri" w:hAnsi="Calibri"/>
          <w:b/>
          <w:bCs/>
          <w:color w:val="28394A"/>
          <w:spacing w:val="40"/>
          <w:sz w:val="17"/>
          <w:szCs w:val="17"/>
        </w:rPr>
        <w:t xml:space="preserve">VITTERLIGHEDSVIDNER</w:t>
      </w:r>
    </w:p>
    <w:p>
      <w:pPr>
        <w:spacing w:after="120" w:line="288" w:lineRule="auto"/>
      </w:pPr>
      <w:r>
        <w:rPr>
          <w:rFonts w:ascii="Calibri" w:cs="Calibri" w:eastAsia="Calibri" w:hAnsi="Calibri"/>
          <w:color w:val="1C1917"/>
          <w:sz w:val="20"/>
          <w:szCs w:val="20"/>
        </w:rPr>
        <w:t xml:space="preserve">Undertegnede vitterlighedsvidner bekræfter, at ovennævnte har underskrevet dokumentet i vores samtidige nærværelse.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Vidne 1</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p>
            <w:pPr>
              <w:spacing w:after="40" w:line="288" w:lineRule="auto"/>
            </w:pPr>
            <w:r>
              <w:rPr>
                <w:rFonts w:ascii="Calibri" w:cs="Calibri" w:eastAsia="Calibri" w:hAnsi="Calibri"/>
                <w:color w:val="1C1917"/>
                <w:sz w:val="20"/>
                <w:szCs w:val="20"/>
              </w:rPr>
              <w:t xml:space="preserve">Adresse: </w:t>
            </w:r>
            <w:r>
              <w:rPr>
                <w:rFonts w:ascii="Calibri" w:cs="Calibri" w:eastAsia="Calibri" w:hAnsi="Calibri"/>
                <w:color w:val="1C1917"/>
                <w:sz w:val="20"/>
                <w:szCs w:val="20"/>
                <w:shd w:fill="E8E6E1" w:color="auto" w:val="clear"/>
              </w:rPr>
              <w:t xml:space="preserve">[Adresse]</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Vidne 2</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p>
            <w:pPr>
              <w:spacing w:after="40" w:line="288" w:lineRule="auto"/>
            </w:pPr>
            <w:r>
              <w:rPr>
                <w:rFonts w:ascii="Calibri" w:cs="Calibri" w:eastAsia="Calibri" w:hAnsi="Calibri"/>
                <w:color w:val="1C1917"/>
                <w:sz w:val="20"/>
                <w:szCs w:val="20"/>
              </w:rPr>
              <w:t xml:space="preserve">Adresse: </w:t>
            </w:r>
            <w:r>
              <w:rPr>
                <w:rFonts w:ascii="Calibri" w:cs="Calibri" w:eastAsia="Calibri" w:hAnsi="Calibri"/>
                <w:color w:val="1C1917"/>
                <w:sz w:val="20"/>
                <w:szCs w:val="20"/>
                <w:shd w:fill="E8E6E1" w:color="auto" w:val="clear"/>
              </w:rPr>
              <w:t xml:space="preserve">[Adresse]</w:t>
            </w: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Vitterlighedsvidner er ikke et krav, men kan bevise, at underskriften er ægte og dateret korrekt. Vidner skal være myndige og må ikke være parter i lånet. Gældsbrevet kan også underskrives digitalt med MitID.</w:t>
      </w:r>
    </w:p>
    <w:p>
      <w:pPr>
        <w:pageBreakBefore/>
      </w:pPr>
    </w:p>
    <w:p>
      <w:pPr>
        <w:keepNext/>
        <w:spacing w:after="80" w:before="220"/>
      </w:pPr>
      <w:r>
        <w:rPr>
          <w:rFonts w:ascii="Calibri" w:cs="Calibri" w:eastAsia="Calibri" w:hAnsi="Calibri"/>
          <w:b/>
          <w:bCs/>
          <w:color w:val="28394A"/>
          <w:sz w:val="22"/>
          <w:szCs w:val="22"/>
        </w:rPr>
        <w:t xml:space="preserve">Bilag 1 - Betalingsoversigt</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814"/>
        <w:gridCol w:w="1814"/>
        <w:gridCol w:w="1814"/>
        <w:gridCol w:w="1814"/>
        <w:gridCol w:w="1814"/>
      </w:tblGrid>
      <w:tr>
        <w:trPr>
          <w:tblHeader/>
        </w:trPr>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Dato</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Betalt (kr.)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Heraf rente (kr.)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Restgæld (kr.)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Kvitteret af kreditor</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tf9ym51tjimda5wbmgoje">
      <w:r>
        <w:rPr>
          <w:rFonts w:ascii="Calibri" w:cs="Calibri" w:eastAsia="Calibri" w:hAnsi="Calibri"/>
          <w:color w:val="1E4FA3"/>
          <w:sz w:val="15"/>
          <w:szCs w:val="15"/>
          <w:u w:val="single"/>
        </w:rPr>
        <w:t xml:space="preserve">lovguiden.dk/praksisoversigt/erhverv-og-kontrakter/gaeldsbrev</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cjyeqp6ssqkobua8piofw">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r4moruv_qysljtbxxdgc2">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liredn4l-4jyh5z37oecr" Type="http://schemas.openxmlformats.org/officeDocument/2006/relationships/hyperlink" Target="https://www.lovguiden.dk" TargetMode="External"/><Relationship Id="rId4tvcwkg7xigqqyaz1m6i1" Type="http://schemas.openxmlformats.org/officeDocument/2006/relationships/hyperlink" Target="https://www.lovguiden.dk/praksisoversigt/erhverv-og-kontrakter/gaeldsbrev" TargetMode="External"/><Relationship Id="rIdg_hle8u_kligi54y_jizy" Type="http://schemas.openxmlformats.org/officeDocument/2006/relationships/hyperlink" Target="https://www.lovguiden.dk/praksisoversigt/erhverv-og-kontrakter/gaeldsbrev"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tf9ym51tjimda5wbmgoje" Type="http://schemas.openxmlformats.org/officeDocument/2006/relationships/hyperlink" Target="https://www.lovguiden.dk/praksisoversigt/erhverv-og-kontrakter/gaeldsbrev"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cjyeqp6ssqkobua8piofw"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r4moruv_qysljtbxxdgc2"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Gældsbrev</dc:title>
  <dc:creator>Lovguiden</dc:creator>
  <cp:lastModifiedBy>Un-named</cp:lastModifiedBy>
  <cp:revision>1</cp:revision>
  <dcterms:created xsi:type="dcterms:W3CDTF">2026-10-27T14:06:19.058Z</dcterms:created>
  <dcterms:modified xsi:type="dcterms:W3CDTF">2026-10-27T14:06:19.058Z</dcterms:modified>
</cp:coreProperties>
</file>

<file path=docProps/custom.xml><?xml version="1.0" encoding="utf-8"?>
<Properties xmlns="http://schemas.openxmlformats.org/officeDocument/2006/custom-properties" xmlns:vt="http://schemas.openxmlformats.org/officeDocument/2006/docPropsVTypes"/>
</file>