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2190750" cy="600075"/>
            <wp:effectExtent t="0" r="0" b="0" l="0"/>
            <wp:docPr id="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200"/>
      </w:pPr>
      <w:r>
        <w:rPr>
          <w:rFonts w:ascii="Calibri" w:cs="Calibri" w:eastAsia="Calibri" w:hAnsi="Calibri"/>
          <w:b/>
          <w:bCs/>
          <w:color w:val="9A7032"/>
          <w:spacing w:val="40"/>
          <w:sz w:val="17"/>
          <w:szCs w:val="17"/>
        </w:rPr>
        <w:t xml:space="preserve">SKABELON  ·  FAMILIE- &amp; PRIVATDOKUMENTER</w:t>
      </w:r>
    </w:p>
    <w:p>
      <w:pPr>
        <w:spacing w:after="220" w:before="60" w:line="300" w:lineRule="auto"/>
      </w:pPr>
      <w:r>
        <w:rPr>
          <w:rFonts w:ascii="Calibri" w:cs="Calibri" w:eastAsia="Calibri" w:hAnsi="Calibri"/>
          <w:b/>
          <w:bCs/>
          <w:color w:val="28394A"/>
          <w:sz w:val="64"/>
          <w:szCs w:val="64"/>
        </w:rPr>
        <w:t xml:space="preserve">Gavebrev</w:t>
      </w:r>
    </w:p>
    <w:p>
      <w:pPr>
        <w:pBdr>
          <w:bottom w:val="single" w:color="9A7032" w:sz="16"/>
        </w:pBdr>
        <w:spacing w:after="280"/>
        <w:ind w:right="7600"/>
      </w:pPr>
    </w:p>
    <w:p>
      <w:pPr>
        <w:spacing w:after="480" w:line="288" w:lineRule="auto"/>
      </w:pPr>
      <w:r>
        <w:rPr>
          <w:rFonts w:ascii="Calibri" w:cs="Calibri" w:eastAsia="Calibri" w:hAnsi="Calibri"/>
          <w:color w:val="3F3A33"/>
          <w:sz w:val="23"/>
          <w:szCs w:val="23"/>
        </w:rPr>
        <w:t xml:space="preserve">Et gavebrev dokumenterer, hvad der gives, til hvem og på hvilke vilkår. Det er også det eneste sted, giveren kan bestemme, at gaven skal være </w:t>
      </w:r>
      <w:r>
        <w:rPr>
          <w:rFonts w:ascii="Calibri" w:cs="Calibri" w:eastAsia="Calibri" w:hAnsi="Calibri"/>
          <w:b/>
          <w:bCs/>
          <w:color w:val="3F3A33"/>
          <w:sz w:val="23"/>
          <w:szCs w:val="23"/>
        </w:rPr>
        <w:t xml:space="preserve">særeje</w:t>
      </w:r>
      <w:r>
        <w:rPr>
          <w:rFonts w:ascii="Calibri" w:cs="Calibri" w:eastAsia="Calibri" w:hAnsi="Calibri"/>
          <w:color w:val="3F3A33"/>
          <w:sz w:val="23"/>
          <w:szCs w:val="23"/>
        </w:rPr>
        <w:t xml:space="preserve"> for modtageren. Særeje kan ikke tilføjes bagefter.</w:t>
      </w:r>
    </w:p>
    <w:tbl>
      <w:tblPr>
        <w:tblW w:type="dxa" w:w="9070"/>
        <w:tblBorders>
          <w:top w:val="single" w:color="28394A" w:sz="8"/>
          <w:left w:val="none" w:color="FFFFFF" w:sz="0"/>
          <w:bottom w:val="single" w:color="D9DDE1" w:sz="4"/>
          <w:right w:val="none" w:color="FFFFFF" w:sz="0"/>
          <w:insideH w:val="single" w:color="D9DDE1" w:sz="4"/>
          <w:insideV w:val="none" w:color="FFFFFF" w:sz="0"/>
        </w:tblBorders>
      </w:tblPr>
      <w:tblGrid>
        <w:gridCol w:w="2400"/>
        <w:gridCol w:w="667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Udgivet af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Lovguiden  ·  </w:t>
            </w:r>
            <w:hyperlink w:history="1" r:id="rId4jo60aegiztayr9rvkzoj">
              <w:r>
                <w:rPr>
                  <w:rFonts w:ascii="Calibri" w:cs="Calibri" w:eastAsia="Calibri" w:hAnsi="Calibri"/>
                  <w:color w:val="1E4FA3"/>
                  <w:sz w:val="20"/>
                  <w:szCs w:val="20"/>
                  <w:u w:val="single"/>
                </w:rPr>
                <w:t xml:space="preserve">www.lovguiden.dk</w:t>
              </w:r>
            </w:hyperlink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Tilhørende guide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hyperlink w:history="1" r:id="rIdhfyv1ms1jwwnpcvasrosc">
              <w:r>
                <w:rPr>
                  <w:rFonts w:ascii="Calibri" w:cs="Calibri" w:eastAsia="Calibri" w:hAnsi="Calibri"/>
                  <w:color w:val="1E4FA3"/>
                  <w:sz w:val="20"/>
                  <w:szCs w:val="20"/>
                  <w:u w:val="single"/>
                </w:rPr>
                <w:t xml:space="preserve">lovguiden.dk/praksisoversigt/privat-og-familie/gavebrev</w:t>
              </w:r>
            </w:hyperlink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Version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Oktober 2026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Format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Redigerbar skabelon - udfyld felterne, og slet vejledningen</w:t>
            </w:r>
          </w:p>
        </w:tc>
      </w:tr>
    </w:tbl>
    <w:p>
      <w:pPr>
        <w:spacing w:after="120" w:before="480"/>
      </w:pPr>
      <w:r>
        <w:rPr>
          <w:rFonts w:ascii="Calibri" w:cs="Calibri" w:eastAsia="Calibri" w:hAnsi="Calibri"/>
          <w:b/>
          <w:bCs/>
          <w:color w:val="28394A"/>
          <w:spacing w:val="40"/>
          <w:sz w:val="17"/>
          <w:szCs w:val="17"/>
        </w:rPr>
        <w:t xml:space="preserve">SÅDAN BRUGES SKABELONEN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667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Grå felter i klammer udfyldes - fx navne, datoer og beløb.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single" w:color="C9A66B" w:sz="18"/>
              <w:bottom w:val="none" w:color="FFFFFF" w:sz="0"/>
              <w:right w:val="none" w:color="FFFFFF" w:sz="0"/>
            </w:tcBorders>
            <w:shd w:fill="F7F3E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A7032"/>
                <w:spacing w:val="30"/>
                <w:sz w:val="15"/>
                <w:szCs w:val="15"/>
              </w:rPr>
              <w:t xml:space="preserve">VEJLEDNING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Tonede bokse er vejledning til jer og </w:t>
            </w:r>
            <w:r>
              <w:rPr>
                <w:rFonts w:ascii="Calibri" w:cs="Calibri" w:eastAsia="Calibri" w:hAnsi="Calibri"/>
                <w:b/>
                <w:bCs/>
                <w:color w:val="3F3A33"/>
                <w:sz w:val="19"/>
                <w:szCs w:val="19"/>
              </w:rPr>
              <w:t xml:space="preserve">slettes</w:t>
            </w:r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, inden dokumentet bruges.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28394A"/>
                <w:sz w:val="20"/>
                <w:szCs w:val="20"/>
              </w:rPr>
              <w:t xml:space="preserve">☐  Valgmulighed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Vælg det, der passer, og slet resten. Afsnit, der ikke er relevante, kan slettes helt.</w:t>
            </w:r>
          </w:p>
        </w:tc>
      </w:tr>
    </w:tbl>
    <w:p>
      <w:pPr>
        <w:spacing w:after="0" w:before="480" w:line="288" w:lineRule="auto"/>
        <w:sectPr>
          <w:headerReference w:type="default" r:id="rId6"/>
          <w:footerReference w:type="default" r:id="rId7"/>
          <w:pgSz w:w="11906" w:h="16838" w:orient="portrait"/>
          <w:pgMar w:top="1100" w:right="1418" w:bottom="1300" w:left="1418" w:header="560" w:footer="560" w:gutter="0"/>
          <w:pgNumType/>
          <w:docGrid w:linePitch="360"/>
        </w:sectPr>
      </w:pPr>
      <w:r>
        <w:rPr>
          <w:rFonts w:ascii="Calibri" w:cs="Calibri" w:eastAsia="Calibri" w:hAnsi="Calibri"/>
          <w:i/>
          <w:iCs/>
          <w:color w:val="5F6B76"/>
          <w:sz w:val="16"/>
          <w:szCs w:val="16"/>
        </w:rPr>
        <w:t xml:space="preserve">Skabelonen er et udgangspunkt og ikke juridisk rådgivning. Lovgivningen kan være ændret siden udarbejdelsen - kontrollér reglerne, og søg rådgivning ved større eller usædvanlige forhold.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9A7032"/>
          <w:spacing w:val="40"/>
          <w:sz w:val="17"/>
          <w:szCs w:val="17"/>
        </w:rPr>
        <w:t xml:space="preserve">SLETTES FØR BRUG</w:t>
      </w:r>
    </w:p>
    <w:p>
      <w:pPr>
        <w:spacing w:after="240"/>
      </w:pPr>
      <w:r>
        <w:rPr>
          <w:rFonts w:ascii="Calibri" w:cs="Calibri" w:eastAsia="Calibri" w:hAnsi="Calibri"/>
          <w:b/>
          <w:bCs/>
          <w:color w:val="28394A"/>
          <w:sz w:val="40"/>
          <w:szCs w:val="40"/>
        </w:rPr>
        <w:t xml:space="preserve">Før du går i gang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VIGTIGT AT VIDE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Gavebrevet er </w:t>
      </w: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ikke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en gaveanmeldelse. Overstiger gaverne fra samme giver i årets løb bundbeløbet, skal giver og modtager anmelde gaven til Skattestyrelsen senest 1. maj året efter og betale gaveafgift. Bundbeløbet reguleres hvert år - se skat.dk/gaver.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Fast ejendom overdrages med et tinglyst skøde. Gavebrevet fastlægger vilkårene (fx særeje), men overfører ikke ejendomsretten.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Brug ikke skabelonen til gaver, der først skal opfyldes ved giverens død, eller til gaver givet kort før en forventet død. De skal oprettes som testamente (arveloven § 93).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Faldgruber: særejet glemmes; giveren beholder reelt rådigheden over gaven; et "lån" eftergives uformelt uden gavebrev og anmeldelse. Er giveren gift, og er gaven stor i forhold til formuen, kan giverens ægtefælle i visse tilfælde kræve gaven tilbage (ægtefælleloven § 10).</w:t>
      </w:r>
    </w:p>
    <w:p>
      <w:pPr>
        <w:spacing w:after="120"/>
      </w:pP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KILDER OG INSPIRATION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Ægtefælleloven § 23 (særeje bestemt af giver), § 12 (særejeformer) og § 10 (tilbagesøgning af gaver).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Boafgiftsloven §§ 22-30 (bundbeløb, satser, forbehold, anmeldelse, værdiansættelse og betaling).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Arveloven §§ 43 og 46 (arveforskud) og § 93 (dødsgaver).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Værgemålsloven §§ 37 og 42 og bekendtgørelse om værgemål § 8 (gaver til mindreårige).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Skattestyrelsen, "Gaver" (skat.dk/gaver) - anmeldelse og bundbeløb.</w:t>
      </w:r>
    </w:p>
    <w:p>
      <w:pPr>
        <w:spacing w:before="200"/>
        <w:sectPr>
          <w:headerReference w:type="default" r:id="rId8"/>
          <w:footerReference w:type="default" r:id="rId9"/>
          <w:pgSz w:w="11906" w:h="16838" w:orient="portrait"/>
          <w:pgMar w:top="1418" w:right="1418" w:bottom="1300" w:left="1418" w:header="560" w:footer="560" w:gutter="0"/>
          <w:pgNumType/>
          <w:docGrid w:linePitch="360"/>
        </w:sectPr>
      </w:pPr>
      <w:r>
        <w:rPr>
          <w:rFonts w:ascii="Calibri" w:cs="Calibri" w:eastAsia="Calibri" w:hAnsi="Calibri"/>
          <w:color w:val="1C1917"/>
          <w:sz w:val="20"/>
          <w:szCs w:val="20"/>
        </w:rPr>
        <w:t xml:space="preserve">Læs guiden med lovkrav, faldgruber og praksis: </w:t>
      </w:r>
      <w:hyperlink w:history="1" r:id="rId1uszeloc61blinwo41v7d">
        <w:r>
          <w:rPr>
            <w:rFonts w:ascii="Calibri" w:cs="Calibri" w:eastAsia="Calibri" w:hAnsi="Calibri"/>
            <w:color w:val="1E4FA3"/>
            <w:sz w:val="20"/>
            <w:szCs w:val="20"/>
            <w:u w:val="single"/>
          </w:rPr>
          <w:t xml:space="preserve">lovguiden.dk/praksisoversigt/privat-og-familie/gavebrev</w:t>
        </w:r>
      </w:hyperlink>
    </w:p>
    <w:p>
      <w:pPr>
        <w:spacing w:after="120"/>
      </w:pPr>
      <w:r>
        <w:rPr>
          <w:rFonts w:ascii="Calibri" w:cs="Calibri" w:eastAsia="Calibri" w:hAnsi="Calibri"/>
          <w:b/>
          <w:bCs/>
          <w:color w:val="28394A"/>
          <w:sz w:val="44"/>
          <w:szCs w:val="44"/>
        </w:rPr>
        <w:t xml:space="preserve">Gavebrev</w:t>
      </w:r>
    </w:p>
    <w:p>
      <w:pPr>
        <w:pBdr>
          <w:bottom w:val="single" w:color="9A7032" w:sz="12"/>
        </w:pBdr>
        <w:spacing w:after="360"/>
        <w:ind w:right="7600"/>
      </w:pP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1.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Parter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Gavegiver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Navn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[Fulde navn]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CPR-nr.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[CPR-nr.]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Adresse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[Adresse, postnr. og by]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Gavemodtager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Navn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[Fulde navn]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CPR-nr.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[CPR-nr.]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Adresse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[Adresse, postnr. og by]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Relation til giver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[Fx barn, barnebarn, stedbarn, svigerbarn, samlever]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Relationen afgør afgiften (boafgiftsloven §§ 22-23):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15 %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af det, der overstiger bundbeløbet: børn, børnebørn, stedbørn, forældre og samlever med fælles bopæl i mindst 2 år. Svigerbørn har et lavere bundbeløb.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36,25 %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: bedsteforældre og stedforældre.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Ingen afgift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: ægtefæller.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Andre (fx søskende, nevøer, venner) betaler indkomstskat af gaven.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2.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Gaven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Gavegiver giver herved gavemodtager følgende gave: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Kontant beløb på 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overført den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fra konto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[Reg.nr./kontonr.]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til konto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[Reg.nr./kontonr.]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Eftergivelse af gæld efter gældsbrev af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 Restgælden på gavetidspunktet udgør 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Værdipapirer: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[Antal]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stk.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[Navn/ISIN]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overført fra depot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[Depotnr.]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til depot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[Depotnr.]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Fast ejendom: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matr.nr.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[Matr.nr.]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[Ejerlav]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 Ejendommen overdrages ved skøde.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Løsøre: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[Beskrivelse af genstanden/genstandene]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Gavens værdi er opgjort til 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på grundlag af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[Fx kursværdi pr. dato / offentlig ejendomsvurdering / vurdering fra (navn)]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Gaven ansættes til handelsværdien den dag, den modtages (boafgiftsloven § 27). Børsnoterede værdipapirer: kursværdien på gavedagen. Fast ejendom: Skattestyrelsen har særlige regler for, hvilken værdi der accepteres i forhold til den offentlige ejendomsvurdering - tjek de gældende regler på skat.dk.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3.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Overdragelse og endelighed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Gaven overgår til gavemodtagers fulde rådighed den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Gaven er endelig og uigenkaldelig. Den er ikke et lån og skal ikke tilbagebetales.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Gaven skal reelt overgå til modtageren. Beholder giveren adgangen til kontoen eller depotet, kan gaven blive tilsidesat - fx af Skattestyrelsen eller af giverens arvinger.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4.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Forbehold (valgfrit)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Ingen forbehold.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Gavegiver forbeholder sig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[brugsret / afkast]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af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[Hvad]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indtil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 eller begivenhed]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Et forbehold nedsætter ikke gaveafgiften. Afgiften beregnes af gavens fulde værdi (boafgiftsloven § 24, stk. 2).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5.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Særeje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Gaven skal være gavemodtagers: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b/>
          <w:bCs/>
          <w:color w:val="1C1917"/>
          <w:sz w:val="22"/>
          <w:szCs w:val="22"/>
        </w:rPr>
        <w:t xml:space="preserve">Fuldstændigt særeje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både ved separation/skilsmisse og ved død.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b/>
          <w:bCs/>
          <w:color w:val="1C1917"/>
          <w:sz w:val="22"/>
          <w:szCs w:val="22"/>
        </w:rPr>
        <w:t xml:space="preserve">Skilsmissesæreje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særeje ved separation/skilsmisse, men delingsformue ved død.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b/>
          <w:bCs/>
          <w:color w:val="1C1917"/>
          <w:sz w:val="22"/>
          <w:szCs w:val="22"/>
        </w:rPr>
        <w:t xml:space="preserve">Kombinationssæreje: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[Beskriv variant, fx fuldstændigt særeje hvis gavemodtager dør først, ellers skilsmissesæreje]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Ingen særejebestemmelse.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Særejet omfatter også det, der træder i gavens sted, samt indtægter og afkast heraf.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Gavemodtager og dennes ægtefælle kan ved ægtepagt ændre særejet til delingsformue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[på følgende betingelser: (Betingelser)]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Vælg særeje, hvis modtageren er gift eller kan blive det. Uden særeje bliver gaven delingsformue og deles ved skilsmisse.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Skriv altid særejeformen fuldt ud. Giver kan ikke fastsætte sumsæreje eller sumdeling (ægtefælleloven § 23, stk. 1).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Gave mellem ægtefæller: få rådgivning, hvis gaven skal være særeje. Den sikre løsning er en ægtepagt.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6.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Mindreårig gavemodtager (valgfrit)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Er gavemodtager under 18 år, bestemmer gavegiver følgende: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Gaven forvaltes af gavemodtagers værge (forældremyndighedens indehaver) efter de almindelige regler.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Gaven skal forvaltes efter værgemålslovens regler om forvaltningsafdeling og tilsyn, jf. værgemålslovens § 37.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Gaven gives til gavemodtagers fri rådighed, jf. værgemålslovens § 42, stk. 1, nr. 2.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Som udgangspunkt forvalter forældrene som værger gaven frit. Vælger giveren den anden mulighed, skal kontanter og værdipapirer anbringes i en godkendt forvaltningsafdeling i et pengeinstitut, og forbrug kræver Familieretshusets godkendelse. Værgemålet - og dermed bindingen - ophører, når modtageren fylder 18 år.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7.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Arveforskud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Gaven er ikke forskud på arv.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Gaven er forskud på arv og skal ved gavegivers død fradrages i gavemodtagers arv med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[gavens værdi på gavetidspunktet / gavens værdi reguleret efter nettoprisindekset fra gavetidspunktet]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En gave er kun arveforskud, hvis det er aftalt (arveloven § 43) - skriv det derfor her. Uden anden aftale fradrages værdien på gavetidspunktet (§ 46, stk. 1). Er forskuddet større end arven, skal modtageren ikke betale forskellen tilbage (§ 46, stk. 2).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8.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Gaveafgift og anmeldelse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En eventuel gaveafgift betales af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[gavemodtager / gavegiver]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Overstiger gaven - sammen med andre gaver fra gavegiver i samme kalenderår - bundbeløbet, anmelder parterne gaven til Skattestyrelsen inden fristen.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Afgiften påhviler modtageren, men giveren hæfter også for den. Den forfalder, når anmeldelsen indgives (boafgiftsloven § 30). Betaler giveren afgiften, regnes det ikke som en ekstra afgiftspligtig gave (§ 24, stk. 5).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9.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Underskrifter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Gavebrevet er underskrevet i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[Antal]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eksemplarer, så hver part har ét.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12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22"/>
                <w:szCs w:val="22"/>
              </w:rPr>
              <w:t xml:space="preserve">Gavegiver</w:t>
            </w:r>
          </w:p>
          <w:p>
            <w:pPr>
              <w:spacing w:after="60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Sted og dato: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[Sted]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, den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[Dato]</w:t>
            </w:r>
          </w:p>
          <w:p>
            <w:pPr>
              <w:pBdr>
                <w:bottom w:val="single" w:color="1C1917" w:sz="6"/>
              </w:pBdr>
              <w:spacing w:after="40"/>
              <w:ind w:right="360"/>
            </w:pPr>
          </w:p>
          <w:p>
            <w:pPr>
              <w:spacing w:after="4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120"/>
              <w:right w:type="dxa" w:w="240"/>
            </w:tcMar>
          </w:tcPr>
          <w:p/>
        </w:tc>
      </w:tr>
    </w:tbl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Gaven modtages hermed på de anførte vilkår.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12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22"/>
                <w:szCs w:val="22"/>
              </w:rPr>
              <w:t xml:space="preserve">Gavemodtager</w:t>
            </w:r>
          </w:p>
          <w:p>
            <w:pPr>
              <w:spacing w:after="60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Sted og dato: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[Sted]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, den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[Dato]</w:t>
            </w:r>
          </w:p>
          <w:p>
            <w:pPr>
              <w:pBdr>
                <w:bottom w:val="single" w:color="1C1917" w:sz="6"/>
              </w:pBdr>
              <w:spacing w:after="40"/>
              <w:ind w:right="360"/>
            </w:pPr>
          </w:p>
          <w:p>
            <w:pPr>
              <w:spacing w:after="4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120"/>
              <w:right w:type="dxa" w:w="240"/>
            </w:tcMar>
          </w:tcPr>
          <w:p/>
        </w:tc>
      </w:tr>
    </w:tbl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Er gavemodtager under 18 år, underskriver indehaveren eller indehaverne af forældremyndigheden på modtagerens vegne. Ved gave af fast ejendom til en mindreårig skal Familieretshuset godkende erhvervelsen (bekendtgørelse om værgemål § 8).</w:t>
      </w:r>
    </w:p>
    <w:sectPr>
      <w:headerReference w:type="default" r:id="rId10"/>
      <w:footerReference w:type="default" r:id="rId11"/>
      <w:pgSz w:w="11906" w:h="16838" w:orient="portrait"/>
      <w:pgMar w:top="1418" w:right="1418" w:bottom="1300" w:left="1418" w:header="560" w:footer="560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F6B76"/>
        <w:sz w:val="15"/>
        <w:szCs w:val="15"/>
      </w:rPr>
      <w:t xml:space="preserve">Vejledning - slettes før brug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DE1" w:sz="4" w:space="6"/>
      </w:pBdr>
      <w:tabs>
        <w:tab w:val="right" w:pos="9026"/>
      </w:tabs>
    </w:pPr>
    <w:r>
      <w:rPr>
        <w:rFonts w:ascii="Calibri" w:cs="Calibri" w:eastAsia="Calibri" w:hAnsi="Calibri"/>
        <w:color w:val="5F6B76"/>
        <w:sz w:val="15"/>
        <w:szCs w:val="15"/>
      </w:rPr>
      <w:t xml:space="preserve">Skabelon fra Lovguiden  ·  </w:t>
    </w:r>
    <w:hyperlink w:history="1" r:id="rIdvulvyjbztpw2wpkfgr1ix">
      <w:r>
        <w:rPr>
          <w:rFonts w:ascii="Calibri" w:cs="Calibri" w:eastAsia="Calibri" w:hAnsi="Calibri"/>
          <w:color w:val="1E4FA3"/>
          <w:sz w:val="15"/>
          <w:szCs w:val="15"/>
          <w:u w:val="single"/>
        </w:rPr>
        <w:t xml:space="preserve">lovguiden.dk/praksisoversigt/privat-og-familie/gavebrev</w:t>
      </w:r>
    </w:hyperlink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color w:val="5F6B76"/>
        <w:sz w:val="15"/>
        <w:szCs w:val="15"/>
      </w:rPr>
      <w:t xml:space="preserve">Side </w:t>
    </w:r>
    <w:r>
      <w:rPr>
        <w:rFonts w:ascii="Calibri" w:cs="Calibri" w:eastAsia="Calibri" w:hAnsi="Calibri"/>
        <w:color w:val="5F6B76"/>
        <w:sz w:val="15"/>
        <w:szCs w:val="15"/>
      </w:rPr>
      <w:fldChar w:fldCharType="begin"/>
    </w:r>
    <w:r>
      <w:rPr>
        <w:rFonts w:ascii="Calibri" w:cs="Calibri" w:eastAsia="Calibri" w:hAnsi="Calibri"/>
        <w:color w:val="5F6B76"/>
        <w:sz w:val="15"/>
        <w:szCs w:val="15"/>
      </w:rPr>
      <w:instrText xml:space="preserve">PAGE</w:instrText>
    </w:r>
    <w:r>
      <w:rPr>
        <w:rFonts w:ascii="Calibri" w:cs="Calibri" w:eastAsia="Calibri" w:hAnsi="Calibri"/>
        <w:color w:val="5F6B76"/>
        <w:sz w:val="15"/>
        <w:szCs w:val="15"/>
      </w:rPr>
      <w:fldChar w:fldCharType="separate"/>
    </w:r>
    <w:r>
      <w:rPr>
        <w:rFonts w:ascii="Calibri" w:cs="Calibri" w:eastAsia="Calibri" w:hAnsi="Calibri"/>
        <w:color w:val="5F6B7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1" w:sz="4" w:space="6"/>
      </w:pBdr>
      <w:tabs>
        <w:tab w:val="right" w:pos="9026"/>
      </w:tabs>
    </w:pPr>
    <w:r>
      <w:drawing>
        <wp:inline distT="0" distB="0" distL="0" distR="0">
          <wp:extent cx="1047750" cy="285750"/>
          <wp:effectExtent t="0" r="0" b="0" l="0"/>
          <wp:docPr id="38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hyperlink w:history="1" r:id="rIdcloifb9wuactdm8aaovtz">
      <w:r>
        <w:rPr>
          <w:rFonts w:ascii="Calibri" w:cs="Calibri" w:eastAsia="Calibri" w:hAnsi="Calibri"/>
          <w:color w:val="1E4FA3"/>
          <w:sz w:val="16"/>
          <w:szCs w:val="16"/>
          <w:u w:val="single"/>
        </w:rPr>
        <w:t xml:space="preserve">www.lovguiden.dk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1" w:sz="4" w:space="6"/>
      </w:pBdr>
      <w:tabs>
        <w:tab w:val="right" w:pos="9026"/>
      </w:tabs>
    </w:pPr>
    <w:r>
      <w:drawing>
        <wp:inline distT="0" distB="0" distL="0" distR="0">
          <wp:extent cx="1047750" cy="285750"/>
          <wp:effectExtent t="0" r="0" b="0" l="0"/>
          <wp:docPr id="39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hyperlink w:history="1" r:id="rId4e-43j-cnioazosne0kxl">
      <w:r>
        <w:rPr>
          <w:rFonts w:ascii="Calibri" w:cs="Calibri" w:eastAsia="Calibri" w:hAnsi="Calibri"/>
          <w:color w:val="1E4FA3"/>
          <w:sz w:val="16"/>
          <w:szCs w:val="16"/>
          <w:u w:val="single"/>
        </w:rPr>
        <w:t xml:space="preserve">www.lovguiden.dk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1917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4jo60aegiztayr9rvkzoj" Type="http://schemas.openxmlformats.org/officeDocument/2006/relationships/hyperlink" Target="https://www.lovguiden.dk" TargetMode="External"/><Relationship Id="rIdhfyv1ms1jwwnpcvasrosc" Type="http://schemas.openxmlformats.org/officeDocument/2006/relationships/hyperlink" Target="https://www.lovguiden.dk/praksisoversigt/privat-og-familie/gavebrev" TargetMode="External"/><Relationship Id="rId1uszeloc61blinwo41v7d" Type="http://schemas.openxmlformats.org/officeDocument/2006/relationships/hyperlink" Target="https://www.lovguiden.dk/praksisoversigt/privat-og-familie/gavebrev" TargetMode="External"/><Relationship Id="rId16" Type="http://schemas.openxmlformats.org/officeDocument/2006/relationships/image" Target="media/e34fde046ec96b6137abb248ac26a17e8220ff7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><Relationship Id="rIdvulvyjbztpw2wpkfgr1ix" Type="http://schemas.openxmlformats.org/officeDocument/2006/relationships/hyperlink" Target="https://www.lovguiden.dk/praksisoversigt/privat-og-familie/gavebrev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cloifb9wuactdm8aaovtz" Type="http://schemas.openxmlformats.org/officeDocument/2006/relationships/hyperlink" Target="https://www.lovguiden.dk" TargetMode="External"/><Relationship Id="rId0" Type="http://schemas.openxmlformats.org/officeDocument/2006/relationships/image" Target="media/e34fde046ec96b6137abb248ac26a17e8220ff7b.png"/></Relationships>
</file>

<file path=word/_rels/header3.xml.rels><?xml version="1.0" encoding="UTF-8"?><Relationships xmlns="http://schemas.openxmlformats.org/package/2006/relationships"><Relationship Id="rId4e-43j-cnioazosne0kxl" Type="http://schemas.openxmlformats.org/officeDocument/2006/relationships/hyperlink" Target="https://www.lovguiden.dk" TargetMode="External"/><Relationship Id="rId0" Type="http://schemas.openxmlformats.org/officeDocument/2006/relationships/image" Target="media/e34fde046ec96b6137abb248ac26a17e8220ff7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Gavebrev</dc:title>
  <dc:creator>Lovguiden</dc:creator>
  <cp:lastModifiedBy>Un-named</cp:lastModifiedBy>
  <cp:revision>1</cp:revision>
  <dcterms:created xsi:type="dcterms:W3CDTF">2026-10-27T14:06:19.358Z</dcterms:created>
  <dcterms:modified xsi:type="dcterms:W3CDTF">2026-10-27T14:06:19.358Z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