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ERHVERVSKONTRAKTER</w:t>
      </w:r>
    </w:p>
    <w:p>
      <w:pPr>
        <w:spacing w:after="120" w:before="60" w:line="300" w:lineRule="auto"/>
      </w:pPr>
      <w:r>
        <w:rPr>
          <w:rFonts w:ascii="Calibri" w:cs="Calibri" w:eastAsia="Calibri" w:hAnsi="Calibri"/>
          <w:b/>
          <w:bCs/>
          <w:color w:val="28394A"/>
          <w:sz w:val="64"/>
          <w:szCs w:val="64"/>
        </w:rPr>
        <w:t xml:space="preserve">IT-kontrakt</w:t>
      </w:r>
    </w:p>
    <w:p>
      <w:pPr>
        <w:spacing w:after="200" w:line="288" w:lineRule="auto"/>
      </w:pPr>
      <w:r>
        <w:rPr>
          <w:rFonts w:ascii="Calibri" w:cs="Calibri" w:eastAsia="Calibri" w:hAnsi="Calibri"/>
          <w:color w:val="5F6B76"/>
          <w:sz w:val="26"/>
          <w:szCs w:val="26"/>
        </w:rPr>
        <w:t xml:space="preserve">mellem </w:t>
      </w:r>
      <w:r>
        <w:rPr>
          <w:rFonts w:ascii="Calibri" w:cs="Calibri" w:eastAsia="Calibri" w:hAnsi="Calibri"/>
          <w:color w:val="1C1917"/>
          <w:sz w:val="26"/>
          <w:szCs w:val="26"/>
          <w:shd w:fill="E8E6E1" w:color="auto" w:val="clear"/>
        </w:rPr>
        <w:t xml:space="preserve">[Kunde]</w:t>
      </w:r>
      <w:r>
        <w:rPr>
          <w:rFonts w:ascii="Calibri" w:cs="Calibri" w:eastAsia="Calibri" w:hAnsi="Calibri"/>
          <w:color w:val="5F6B76"/>
          <w:sz w:val="26"/>
          <w:szCs w:val="26"/>
        </w:rPr>
        <w:t xml:space="preserve"> og </w:t>
      </w:r>
      <w:r>
        <w:rPr>
          <w:rFonts w:ascii="Calibri" w:cs="Calibri" w:eastAsia="Calibri" w:hAnsi="Calibri"/>
          <w:color w:val="1C1917"/>
          <w:sz w:val="26"/>
          <w:szCs w:val="26"/>
          <w:shd w:fill="E8E6E1" w:color="auto" w:val="clear"/>
        </w:rPr>
        <w:t xml:space="preserve">[Leverandør]</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Skabelonen er en kontrakt mellem to virksomheder om levering af et it-system, en SaaS-løsning eller begge dele. Den er bygget af moduler: </w:t>
      </w:r>
      <w:r>
        <w:rPr>
          <w:rFonts w:ascii="Calibri" w:cs="Calibri" w:eastAsia="Calibri" w:hAnsi="Calibri"/>
          <w:b/>
          <w:bCs/>
          <w:color w:val="3F3A33"/>
          <w:sz w:val="23"/>
          <w:szCs w:val="23"/>
        </w:rPr>
        <w:t xml:space="preserve">Modul A (Systemleverance)</w:t>
      </w:r>
      <w:r>
        <w:rPr>
          <w:rFonts w:ascii="Calibri" w:cs="Calibri" w:eastAsia="Calibri" w:hAnsi="Calibri"/>
          <w:color w:val="3F3A33"/>
          <w:sz w:val="23"/>
          <w:szCs w:val="23"/>
        </w:rPr>
        <w:t xml:space="preserve"> dækker udvikling, installation og godkendelse af et system. </w:t>
      </w:r>
      <w:r>
        <w:rPr>
          <w:rFonts w:ascii="Calibri" w:cs="Calibri" w:eastAsia="Calibri" w:hAnsi="Calibri"/>
          <w:b/>
          <w:bCs/>
          <w:color w:val="3F3A33"/>
          <w:sz w:val="23"/>
          <w:szCs w:val="23"/>
        </w:rPr>
        <w:t xml:space="preserve">Modul B (SaaS og drift)</w:t>
      </w:r>
      <w:r>
        <w:rPr>
          <w:rFonts w:ascii="Calibri" w:cs="Calibri" w:eastAsia="Calibri" w:hAnsi="Calibri"/>
          <w:color w:val="3F3A33"/>
          <w:sz w:val="23"/>
          <w:szCs w:val="23"/>
        </w:rPr>
        <w:t xml:space="preserve"> dækker løbende adgang til en løsning, servicemål og exit. Slet det modul, der ikke bruges, og ret henvisningerne til.</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inq2dy1_7hupynjavdxwe">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y7tw-xueheqj3mia45dwb">
              <w:r>
                <w:rPr>
                  <w:rFonts w:ascii="Calibri" w:cs="Calibri" w:eastAsia="Calibri" w:hAnsi="Calibri"/>
                  <w:color w:val="1E4FA3"/>
                  <w:sz w:val="20"/>
                  <w:szCs w:val="20"/>
                  <w:u w:val="single"/>
                </w:rPr>
                <w:t xml:space="preserve">lovguiden.dk/praksisoversigt/erhverv-og-kontrakter/it-kontrakt</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Kontrakten er en rammekontrakt. Det meste af det konkrete indhold hører hjemme i </w:t>
      </w:r>
      <w:r>
        <w:rPr>
          <w:rFonts w:ascii="Calibri" w:cs="Calibri" w:eastAsia="Calibri" w:hAnsi="Calibri"/>
          <w:b/>
          <w:bCs/>
          <w:color w:val="3F3A33"/>
          <w:sz w:val="19"/>
          <w:szCs w:val="19"/>
        </w:rPr>
        <w:t xml:space="preserve">bilagene</w:t>
      </w:r>
      <w:r>
        <w:rPr>
          <w:rFonts w:ascii="Calibri" w:cs="Calibri" w:eastAsia="Calibri" w:hAnsi="Calibri"/>
          <w:color w:val="3F3A33"/>
          <w:sz w:val="19"/>
          <w:szCs w:val="19"/>
        </w:rPr>
        <w:t xml:space="preserve"> - især kravspecifikationen, prisbilaget og servicemålene. Skriv kravspecifikationen, så krav og ønsker er tydeligt adskilt, og så det kan afprøves, om et krav er opfyldt.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Behandler leverandøren personoplysninger for kunden, skal der være en </w:t>
      </w:r>
      <w:r>
        <w:rPr>
          <w:rFonts w:ascii="Calibri" w:cs="Calibri" w:eastAsia="Calibri" w:hAnsi="Calibri"/>
          <w:b/>
          <w:bCs/>
          <w:color w:val="3F3A33"/>
          <w:sz w:val="19"/>
          <w:szCs w:val="19"/>
        </w:rPr>
        <w:t xml:space="preserve">databehandleraftale</w:t>
      </w:r>
      <w:r>
        <w:rPr>
          <w:rFonts w:ascii="Calibri" w:cs="Calibri" w:eastAsia="Calibri" w:hAnsi="Calibri"/>
          <w:color w:val="3F3A33"/>
          <w:sz w:val="19"/>
          <w:szCs w:val="19"/>
        </w:rPr>
        <w:t xml:space="preserve"> (bilag 8). Brug Datatilsynets standardkontraktbestemmelser eller EU-Kommissionens standardklausuler uændret - skriv ikke en egen. Ændres standardteksten, mister den sin status som standard.</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For cloud- og SaaS-ydelser gælder </w:t>
      </w:r>
      <w:r>
        <w:rPr>
          <w:rFonts w:ascii="Calibri" w:cs="Calibri" w:eastAsia="Calibri" w:hAnsi="Calibri"/>
          <w:b/>
          <w:bCs/>
          <w:color w:val="3F3A33"/>
          <w:sz w:val="19"/>
          <w:szCs w:val="19"/>
        </w:rPr>
        <w:t xml:space="preserve">dataforordningen (EU Data Act)</w:t>
      </w:r>
      <w:r>
        <w:rPr>
          <w:rFonts w:ascii="Calibri" w:cs="Calibri" w:eastAsia="Calibri" w:hAnsi="Calibri"/>
          <w:color w:val="3F3A33"/>
          <w:sz w:val="19"/>
          <w:szCs w:val="19"/>
        </w:rPr>
        <w:t xml:space="preserve"> fra 12. september 2025. Kontrakten skal bl.a. give kunden ret til at indlede et skifte med højst 2 måneders varsel, en overgangsperiode på højst 30 kalenderdage, en udtømmende liste over de data, der kan eksporteres, og mindst 30 dage til dataudtræk (art. 25). Fra 12. januar 2027 er skiftegebyrer forbudt (art. 29). Afsnit 18 og 19 er skrevet med de krav for øje. Kravene gælder ikke for ydelser, der for størstedelens vedkommende er skræddersyet til den enkelte kunde, eller for tidsbegrænsede testversioner (art. 31) - leverandøren skal i så fald oplyse det før aftaleindgåelsen.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Offentlige kunder bruger ofte statens standardkontrakter (K01-K04 fra Digitaliseringsstyrelsen), og finansielle virksomheder og NIS 2-omfattede virksomheder har særlige krav til leverandøraftaler. Skabelonen dækker ikke disse krav fuldt ud. Den er heller ikke egnet til aftaler med forbrugere.</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kravspecifikation, der blander krav og ønsker; godkendelse uden fejlliste; dagbod som eneste beføjelse uden ret til at hæve; ansvarsbegrænsning, der også dækker datatab, databrud og grov uagtsomhed; ingen exitplan; en "standard"-databehandleraftale, der lader leverandøren bruge kundens data til egne formål.</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Databeskyttelsesforordningen art. 28 (databehandleraftale) og Datatilsynets standardkontraktbestemmelser.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Dataforordningen, forordning (EU) 2023/2854: art. 23-31 (skifte mellem databehandlingstjenester, herunder art. 25 om kontraktvilkår og art. 29 om skiftegebyrer), art. 13 (urimelige datavilkår) og art. 50 (anvendelse).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EU-Kommissionens ikke-bindende modelvilkår og standardkontraktbestemmelser for cloudaftaler efter dataforordningens art. 41 (godkendt november 2025).</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Ophavsretsloven § 53, stk. 3 (overdragelse fortolkes snævert) og § 59 (programmer skabt af ansatte).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Aftaleloven § 36, købeloven (deklaratorisk mellem erhvervsdrivende) og forældelsesloven § 3.</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Digitaliseringsstyrelsen, statens standardkontrakter K01-K04 (strukturel inspiration; K04 er udgivet under CC BY 4.0). Ingen tekst er gengivet.</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nwnqeilvgh08c0qwpuntz">
        <w:r>
          <w:rPr>
            <w:rFonts w:ascii="Calibri" w:cs="Calibri" w:eastAsia="Calibri" w:hAnsi="Calibri"/>
            <w:color w:val="1E4FA3"/>
            <w:sz w:val="20"/>
            <w:szCs w:val="20"/>
            <w:u w:val="single"/>
          </w:rPr>
          <w:t xml:space="preserve">lovguiden.dk/praksisoversigt/erhverv-og-kontrakter/it-kontrakt</w:t>
        </w:r>
      </w:hyperlink>
    </w:p>
    <w:p>
      <w:pPr>
        <w:spacing w:after="80"/>
      </w:pPr>
      <w:r>
        <w:rPr>
          <w:rFonts w:ascii="Calibri" w:cs="Calibri" w:eastAsia="Calibri" w:hAnsi="Calibri"/>
          <w:b/>
          <w:bCs/>
          <w:color w:val="28394A"/>
          <w:sz w:val="44"/>
          <w:szCs w:val="44"/>
        </w:rPr>
        <w:t xml:space="preserve">IT-kontrakt</w:t>
      </w:r>
    </w:p>
    <w:p>
      <w:pPr>
        <w:spacing w:after="120" w:line="288" w:lineRule="auto"/>
      </w:pPr>
      <w:r>
        <w:rPr>
          <w:rFonts w:ascii="Calibri" w:cs="Calibri" w:eastAsia="Calibri" w:hAnsi="Calibri"/>
          <w:color w:val="5F6B76"/>
          <w:sz w:val="22"/>
          <w:szCs w:val="22"/>
        </w:rPr>
        <w:t xml:space="preserve">mellem </w:t>
      </w:r>
      <w:r>
        <w:rPr>
          <w:rFonts w:ascii="Calibri" w:cs="Calibri" w:eastAsia="Calibri" w:hAnsi="Calibri"/>
          <w:color w:val="1C1917"/>
          <w:sz w:val="22"/>
          <w:szCs w:val="22"/>
          <w:shd w:fill="E8E6E1" w:color="auto" w:val="clear"/>
        </w:rPr>
        <w:t xml:space="preserve">[Kunde]</w:t>
      </w:r>
      <w:r>
        <w:rPr>
          <w:rFonts w:ascii="Calibri" w:cs="Calibri" w:eastAsia="Calibri" w:hAnsi="Calibri"/>
          <w:color w:val="5F6B76"/>
          <w:sz w:val="22"/>
          <w:szCs w:val="22"/>
        </w:rPr>
        <w:t xml:space="preserve"> og </w:t>
      </w:r>
      <w:r>
        <w:rPr>
          <w:rFonts w:ascii="Calibri" w:cs="Calibri" w:eastAsia="Calibri" w:hAnsi="Calibri"/>
          <w:color w:val="1C1917"/>
          <w:sz w:val="22"/>
          <w:szCs w:val="22"/>
          <w:shd w:fill="E8E6E1" w:color="auto" w:val="clear"/>
        </w:rPr>
        <w:t xml:space="preserve">[Leverandør]</w:t>
      </w:r>
    </w:p>
    <w:p>
      <w:pPr>
        <w:pBdr>
          <w:bottom w:val="single" w:color="9A7032" w:sz="12"/>
        </w:pBdr>
        <w:spacing w:after="360"/>
        <w:ind w:right="760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Parter og ydelse</w:t>
      </w:r>
    </w:p>
    <w:p>
      <w:pPr>
        <w:keepNext/>
        <w:spacing w:after="80" w:before="220"/>
      </w:pPr>
      <w:r>
        <w:rPr>
          <w:rFonts w:ascii="Calibri" w:cs="Calibri" w:eastAsia="Calibri" w:hAnsi="Calibri"/>
          <w:b/>
          <w:bCs/>
          <w:color w:val="28394A"/>
          <w:sz w:val="22"/>
          <w:szCs w:val="22"/>
        </w:rPr>
        <w:t xml:space="preserve">Kunden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[Virksomhedsnavn]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CVR-nr.</w:t>
      </w:r>
      <w:r>
        <w:t xml:space="preserve">	</w:t>
      </w:r>
      <w:r>
        <w:rPr>
          <w:rFonts w:ascii="Calibri" w:cs="Calibri" w:eastAsia="Calibri" w:hAnsi="Calibri"/>
          <w:color w:val="1C1917"/>
          <w:sz w:val="22"/>
          <w:szCs w:val="22"/>
          <w:shd w:fill="E8E6E1" w:color="auto" w:val="clear"/>
        </w:rPr>
        <w:t xml:space="preserve">[CVR-nr.]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Kontaktperson</w:t>
      </w:r>
      <w:r>
        <w:t xml:space="preserve">	</w:t>
      </w:r>
      <w:r>
        <w:rPr>
          <w:rFonts w:ascii="Calibri" w:cs="Calibri" w:eastAsia="Calibri" w:hAnsi="Calibri"/>
          <w:color w:val="1C1917"/>
          <w:sz w:val="22"/>
          <w:szCs w:val="22"/>
          <w:shd w:fill="E8E6E1" w:color="auto" w:val="clear"/>
        </w:rPr>
        <w:t xml:space="preserve">[Navn, e-mail]</w:t>
      </w:r>
    </w:p>
    <w:p>
      <w:pPr>
        <w:keepNext/>
        <w:spacing w:after="80" w:before="220"/>
      </w:pPr>
      <w:r>
        <w:rPr>
          <w:rFonts w:ascii="Calibri" w:cs="Calibri" w:eastAsia="Calibri" w:hAnsi="Calibri"/>
          <w:b/>
          <w:bCs/>
          <w:color w:val="28394A"/>
          <w:sz w:val="22"/>
          <w:szCs w:val="22"/>
        </w:rPr>
        <w:t xml:space="preserve">Leverandøren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[Virksomhedsnavn]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CVR-nr.</w:t>
      </w:r>
      <w:r>
        <w:t xml:space="preserve">	</w:t>
      </w:r>
      <w:r>
        <w:rPr>
          <w:rFonts w:ascii="Calibri" w:cs="Calibri" w:eastAsia="Calibri" w:hAnsi="Calibri"/>
          <w:color w:val="1C1917"/>
          <w:sz w:val="22"/>
          <w:szCs w:val="22"/>
          <w:shd w:fill="E8E6E1" w:color="auto" w:val="clear"/>
        </w:rPr>
        <w:t xml:space="preserve">[CVR-nr.]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Kontaktperson</w:t>
      </w:r>
      <w:r>
        <w:t xml:space="preserve">	</w:t>
      </w:r>
      <w:r>
        <w:rPr>
          <w:rFonts w:ascii="Calibri" w:cs="Calibri" w:eastAsia="Calibri" w:hAnsi="Calibri"/>
          <w:color w:val="1C1917"/>
          <w:sz w:val="22"/>
          <w:szCs w:val="22"/>
          <w:shd w:fill="E8E6E1" w:color="auto" w:val="clear"/>
        </w:rPr>
        <w:t xml:space="preserve">[Navn, e-mail]</w:t>
      </w:r>
    </w:p>
    <w:p>
      <w:pPr>
        <w:keepNext/>
        <w:spacing w:after="80" w:before="220"/>
      </w:pPr>
      <w:r>
        <w:rPr>
          <w:rFonts w:ascii="Calibri" w:cs="Calibri" w:eastAsia="Calibri" w:hAnsi="Calibri"/>
          <w:b/>
          <w:bCs/>
          <w:color w:val="28394A"/>
          <w:sz w:val="22"/>
          <w:szCs w:val="22"/>
        </w:rPr>
        <w:t xml:space="preserve">Kontrakten omfatter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Modul A - Systemleverance: </w:t>
      </w:r>
      <w:r>
        <w:rPr>
          <w:rFonts w:ascii="Calibri" w:cs="Calibri" w:eastAsia="Calibri" w:hAnsi="Calibri"/>
          <w:color w:val="1C1917"/>
          <w:sz w:val="22"/>
          <w:szCs w:val="22"/>
          <w:shd w:fill="E8E6E1" w:color="auto" w:val="clear"/>
        </w:rPr>
        <w:t xml:space="preserve">[Kort beskrivelse af systemet]</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Modul B - SaaS og drift: </w:t>
      </w:r>
      <w:r>
        <w:rPr>
          <w:rFonts w:ascii="Calibri" w:cs="Calibri" w:eastAsia="Calibri" w:hAnsi="Calibri"/>
          <w:color w:val="1C1917"/>
          <w:sz w:val="22"/>
          <w:szCs w:val="22"/>
          <w:shd w:fill="E8E6E1" w:color="auto" w:val="clear"/>
        </w:rPr>
        <w:t xml:space="preserve">[Kort beskrivelse af løsningen og driftsydelserne]</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Definitioner</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Arbejdsdag:</w:t>
      </w:r>
      <w:r>
        <w:rPr>
          <w:rFonts w:ascii="Calibri" w:cs="Calibri" w:eastAsia="Calibri" w:hAnsi="Calibri"/>
          <w:color w:val="1C1917"/>
          <w:sz w:val="22"/>
          <w:szCs w:val="22"/>
        </w:rPr>
        <w:t xml:space="preserve"> mandag til fredag, undtagen helligdage, 24. december, 31. december og grundlovsdag.</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Kravspecifikation:</w:t>
      </w:r>
      <w:r>
        <w:rPr>
          <w:rFonts w:ascii="Calibri" w:cs="Calibri" w:eastAsia="Calibri" w:hAnsi="Calibri"/>
          <w:color w:val="1C1917"/>
          <w:sz w:val="22"/>
          <w:szCs w:val="22"/>
        </w:rPr>
        <w:t xml:space="preserve"> kundens krav til ydelsen i bilag 2.</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Overtagelsesdag:</w:t>
      </w:r>
      <w:r>
        <w:rPr>
          <w:rFonts w:ascii="Calibri" w:cs="Calibri" w:eastAsia="Calibri" w:hAnsi="Calibri"/>
          <w:color w:val="1C1917"/>
          <w:sz w:val="22"/>
          <w:szCs w:val="22"/>
        </w:rPr>
        <w:t xml:space="preserve"> den dag, hvor overtagelsesprøven er bestået, jf. afsnit 8.</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Kundedata:</w:t>
      </w:r>
      <w:r>
        <w:rPr>
          <w:rFonts w:ascii="Calibri" w:cs="Calibri" w:eastAsia="Calibri" w:hAnsi="Calibri"/>
          <w:color w:val="1C1917"/>
          <w:sz w:val="22"/>
          <w:szCs w:val="22"/>
        </w:rPr>
        <w:t xml:space="preserve"> alle data, som kunden eller kundens brugere indlæser i, genererer i eller får behandlet i løsningen, herunder metadata, logdata og konfigurationer, der vedrører kunden.</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Tilgængelighed:</w:t>
      </w:r>
      <w:r>
        <w:rPr>
          <w:rFonts w:ascii="Calibri" w:cs="Calibri" w:eastAsia="Calibri" w:hAnsi="Calibri"/>
          <w:color w:val="1C1917"/>
          <w:sz w:val="22"/>
          <w:szCs w:val="22"/>
        </w:rPr>
        <w:t xml:space="preserve"> den andel af den aftalte driftstid, hvor løsningen fungerer som aftalt, målt efter bilag 5.</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Fejlkategorier:</w:t>
      </w:r>
      <w:r>
        <w:rPr>
          <w:rFonts w:ascii="Calibri" w:cs="Calibri" w:eastAsia="Calibri" w:hAnsi="Calibri"/>
          <w:color w:val="1C1917"/>
          <w:sz w:val="22"/>
          <w:szCs w:val="22"/>
        </w:rPr>
        <w:t xml:space="preserve"> A-fejl (løsningen eller en væsentlig funktion kan ikke bruges), B-fejl (en funktion fungerer væsentligt dårligere end aftalt, men kan omgås) og C-fejl (øvrige fejl).</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Kontraktgrundlag</w:t>
      </w:r>
    </w:p>
    <w:p>
      <w:pPr>
        <w:spacing w:after="120" w:line="288" w:lineRule="auto"/>
      </w:pPr>
      <w:r>
        <w:rPr>
          <w:rFonts w:ascii="Calibri" w:cs="Calibri" w:eastAsia="Calibri" w:hAnsi="Calibri"/>
          <w:color w:val="1C1917"/>
          <w:sz w:val="22"/>
          <w:szCs w:val="22"/>
        </w:rPr>
        <w:t xml:space="preserve">Kontrakten består af dette dokument og bilagene. Ved uoverensstemmelse går kontrakten forud for bilagene, og bilagene går forud i den nummerorden, de er listet i afsnit 24 - dog går bilag 8 (databehandleraftale) altid forud i spørgsmål om behandling af personoplysninger. Leverandørens løsningsbeskrivelse (bilag 3) går kun forud for kravspecifikationen, hvis det udtrykkeligt fremgår af bilag 3.</w:t>
      </w:r>
    </w:p>
    <w:p>
      <w:pPr>
        <w:spacing w:after="120" w:line="288" w:lineRule="auto"/>
      </w:pPr>
      <w:r>
        <w:rPr>
          <w:rFonts w:ascii="Calibri" w:cs="Calibri" w:eastAsia="Calibri" w:hAnsi="Calibri"/>
          <w:color w:val="1C1917"/>
          <w:sz w:val="22"/>
          <w:szCs w:val="22"/>
        </w:rPr>
        <w:t xml:space="preserve">Leverandørens egne standardvilkår, licensvilkår eller tilbudsforbehold gælder kun, hvis de er optaget som bilag. Udbuds- og tilbudsmateriale, der ikke er gentaget i kontrakten eller bilagene, er ikke en del af aftalen.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Ydelsen</w:t>
      </w:r>
    </w:p>
    <w:p>
      <w:pPr>
        <w:keepNext/>
        <w:spacing w:after="80" w:before="220"/>
      </w:pPr>
      <w:r>
        <w:rPr>
          <w:rFonts w:ascii="Calibri" w:cs="Calibri" w:eastAsia="Calibri" w:hAnsi="Calibri"/>
          <w:b/>
          <w:bCs/>
          <w:color w:val="28394A"/>
          <w:sz w:val="22"/>
          <w:szCs w:val="22"/>
        </w:rPr>
        <w:t xml:space="preserve">Modul A - Systemleverance</w:t>
      </w:r>
    </w:p>
    <w:p>
      <w:pPr>
        <w:spacing w:after="120" w:line="288" w:lineRule="auto"/>
      </w:pPr>
      <w:r>
        <w:rPr>
          <w:rFonts w:ascii="Calibri" w:cs="Calibri" w:eastAsia="Calibri" w:hAnsi="Calibri"/>
          <w:color w:val="1C1917"/>
          <w:sz w:val="22"/>
          <w:szCs w:val="22"/>
        </w:rPr>
        <w:t xml:space="preserve">Leverandøren leverer </w:t>
      </w:r>
      <w:r>
        <w:rPr>
          <w:rFonts w:ascii="Calibri" w:cs="Calibri" w:eastAsia="Calibri" w:hAnsi="Calibri"/>
          <w:color w:val="1C1917"/>
          <w:sz w:val="22"/>
          <w:szCs w:val="22"/>
          <w:shd w:fill="E8E6E1" w:color="auto" w:val="clear"/>
        </w:rPr>
        <w:t xml:space="preserve">[udvikling / tilpasning / installation / konfiguration / datamigrering / uddannelse]</w:t>
      </w:r>
      <w:r>
        <w:rPr>
          <w:rFonts w:ascii="Calibri" w:cs="Calibri" w:eastAsia="Calibri" w:hAnsi="Calibri"/>
          <w:color w:val="1C1917"/>
          <w:sz w:val="22"/>
          <w:szCs w:val="22"/>
        </w:rPr>
        <w:t xml:space="preserve"> af systemet, så det opfylder kravspecifikationen og fungerer i kundens it-miljø som beskrevet i bilag 2.</w:t>
      </w:r>
    </w:p>
    <w:p>
      <w:pPr>
        <w:keepNext/>
        <w:spacing w:after="80" w:before="220"/>
      </w:pPr>
      <w:r>
        <w:rPr>
          <w:rFonts w:ascii="Calibri" w:cs="Calibri" w:eastAsia="Calibri" w:hAnsi="Calibri"/>
          <w:b/>
          <w:bCs/>
          <w:color w:val="28394A"/>
          <w:sz w:val="22"/>
          <w:szCs w:val="22"/>
        </w:rPr>
        <w:t xml:space="preserve">Modul B - SaaS og drift</w:t>
      </w:r>
    </w:p>
    <w:p>
      <w:pPr>
        <w:spacing w:after="120" w:line="288" w:lineRule="auto"/>
      </w:pPr>
      <w:r>
        <w:rPr>
          <w:rFonts w:ascii="Calibri" w:cs="Calibri" w:eastAsia="Calibri" w:hAnsi="Calibri"/>
          <w:color w:val="1C1917"/>
          <w:sz w:val="22"/>
          <w:szCs w:val="22"/>
        </w:rPr>
        <w:t xml:space="preserve">Leverandøren stiller løsningen til rådighed som en tjeneste for op til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brugere hos kunden </w:t>
      </w:r>
      <w:r>
        <w:rPr>
          <w:rFonts w:ascii="Calibri" w:cs="Calibri" w:eastAsia="Calibri" w:hAnsi="Calibri"/>
          <w:color w:val="1C1917"/>
          <w:sz w:val="22"/>
          <w:szCs w:val="22"/>
          <w:shd w:fill="E8E6E1" w:color="auto" w:val="clear"/>
        </w:rPr>
        <w:t xml:space="preserve">[og kundens koncernselskaber]</w:t>
      </w:r>
      <w:r>
        <w:rPr>
          <w:rFonts w:ascii="Calibri" w:cs="Calibri" w:eastAsia="Calibri" w:hAnsi="Calibri"/>
          <w:color w:val="1C1917"/>
          <w:sz w:val="22"/>
          <w:szCs w:val="22"/>
        </w:rPr>
        <w:t xml:space="preserve"> med den funktionalitet, der er beskrevet i bilag 2 og 3. Leverandøren står for drift, vedligeholdelse, opdateringer, sikkerhedskopiering og support som beskrevet i bilag 5.</w:t>
      </w:r>
    </w:p>
    <w:p>
      <w:pPr>
        <w:spacing w:after="120" w:line="288" w:lineRule="auto"/>
      </w:pPr>
      <w:r>
        <w:rPr>
          <w:rFonts w:ascii="Calibri" w:cs="Calibri" w:eastAsia="Calibri" w:hAnsi="Calibri"/>
          <w:color w:val="1C1917"/>
          <w:sz w:val="22"/>
          <w:szCs w:val="22"/>
        </w:rPr>
        <w:t xml:space="preserve">Leverandøren må ikke ændre løsningen, så funktionalitet, sikkerhed eller tilgængelighed forringes væsentligt, uden kundens skriftlige samtykke.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Tidsplan</w:t>
      </w:r>
    </w:p>
    <w:p>
      <w:pPr>
        <w:spacing w:after="120" w:line="288" w:lineRule="auto"/>
      </w:pPr>
      <w:r>
        <w:rPr>
          <w:rFonts w:ascii="Calibri" w:cs="Calibri" w:eastAsia="Calibri" w:hAnsi="Calibri"/>
          <w:color w:val="1C1917"/>
          <w:sz w:val="22"/>
          <w:szCs w:val="22"/>
        </w:rPr>
        <w:t xml:space="preserve">Ydelsen leveres efter tidsplanen i bilag 1. Følgende milepæle er bindende og udløser bod ved forsinkelse: </w:t>
      </w:r>
      <w:r>
        <w:rPr>
          <w:rFonts w:ascii="Calibri" w:cs="Calibri" w:eastAsia="Calibri" w:hAnsi="Calibri"/>
          <w:color w:val="1C1917"/>
          <w:sz w:val="22"/>
          <w:szCs w:val="22"/>
          <w:shd w:fill="E8E6E1" w:color="auto" w:val="clear"/>
        </w:rPr>
        <w:t xml:space="preserve">[Milepæle, fx overtagelsesdag (dato)]</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Kunden kan én gang udskyde en milepæl med op til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arbejdsdage ved skriftligt varsel på mindst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arbejdsdage. Leverandøren har krav på betaling for dokumenterede meromkostninger ved udskydelsen.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Kundens medvirken</w:t>
      </w:r>
    </w:p>
    <w:p>
      <w:pPr>
        <w:spacing w:after="120" w:line="288" w:lineRule="auto"/>
      </w:pPr>
      <w:r>
        <w:rPr>
          <w:rFonts w:ascii="Calibri" w:cs="Calibri" w:eastAsia="Calibri" w:hAnsi="Calibri"/>
          <w:color w:val="1C1917"/>
          <w:sz w:val="22"/>
          <w:szCs w:val="22"/>
        </w:rPr>
        <w:t xml:space="preserve">Kunden medvirker som beskrevet i bilag 6. Leverandøren skal skriftligt og uden ugrundet ophold gøre kunden opmærksom på, hvis kundens medvirken ikke sker som aftalt. Leverandøren kan kun påberåbe sig forsinket eller mangelfuld medvirken, hvis leverandøren har givet en sådan meddelelse.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Ændringer</w:t>
      </w:r>
    </w:p>
    <w:p>
      <w:pPr>
        <w:spacing w:after="120" w:line="288" w:lineRule="auto"/>
      </w:pPr>
      <w:r>
        <w:rPr>
          <w:rFonts w:ascii="Calibri" w:cs="Calibri" w:eastAsia="Calibri" w:hAnsi="Calibri"/>
          <w:color w:val="1C1917"/>
          <w:sz w:val="22"/>
          <w:szCs w:val="22"/>
        </w:rPr>
        <w:t xml:space="preserve">Hver part kan foreslå ændringer af ydelsen efter ændringsproceduren i bilag 11. Leverandøren skal inden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arbejdsdage give et skriftligt overslag over konsekvenserne for pris, tidsplan og kvalitet. Ændringer er kun bindende, når begge parter har underskrevet en ændringsaftale. Leverandøren fører en ændringslog.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Prøver og overtagelse (Modul A)</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Installationsprøve:</w:t>
      </w:r>
      <w:r>
        <w:rPr>
          <w:rFonts w:ascii="Calibri" w:cs="Calibri" w:eastAsia="Calibri" w:hAnsi="Calibri"/>
          <w:color w:val="1C1917"/>
          <w:sz w:val="22"/>
          <w:szCs w:val="22"/>
        </w:rPr>
        <w:t xml:space="preserve"> viser, at systemet er installeret og klar til test. Gennemføres senest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Overtagelsesprøve:</w:t>
      </w:r>
      <w:r>
        <w:rPr>
          <w:rFonts w:ascii="Calibri" w:cs="Calibri" w:eastAsia="Calibri" w:hAnsi="Calibri"/>
          <w:color w:val="1C1917"/>
          <w:sz w:val="22"/>
          <w:szCs w:val="22"/>
        </w:rPr>
        <w:t xml:space="preserve"> viser, at systemet opfylder kravspecifikationen efter testkriterierne i bilag 7. Prøven er bestået, når der ikke er A- eller B-fejl, og der højst er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C-fejl.</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Driftsprøve:</w:t>
      </w:r>
      <w:r>
        <w:rPr>
          <w:rFonts w:ascii="Calibri" w:cs="Calibri" w:eastAsia="Calibri" w:hAnsi="Calibri"/>
          <w:color w:val="1C1917"/>
          <w:sz w:val="22"/>
          <w:szCs w:val="22"/>
        </w:rPr>
        <w:t xml:space="preserve"> systemet skal i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i drift opfylde servicemålene i bilag 5.</w:t>
      </w:r>
    </w:p>
    <w:p>
      <w:pPr>
        <w:spacing w:after="120" w:line="288" w:lineRule="auto"/>
      </w:pPr>
      <w:r>
        <w:rPr>
          <w:rFonts w:ascii="Calibri" w:cs="Calibri" w:eastAsia="Calibri" w:hAnsi="Calibri"/>
          <w:color w:val="1C1917"/>
          <w:sz w:val="22"/>
          <w:szCs w:val="22"/>
        </w:rPr>
        <w:t xml:space="preserve">Ved hver prøve udarbejder parterne en fejlliste med frister for afhjælpning. Kundens godkendelse af en prøve fritager ikke leverandøren for at afhjælpe de fejl, der står på fejllisten, eller som opdages senere.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Servicemål (Modul B)</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Driftstid</w:t>
      </w:r>
      <w:r>
        <w:t xml:space="preserve">	</w:t>
      </w:r>
      <w:r>
        <w:rPr>
          <w:rFonts w:ascii="Calibri" w:cs="Calibri" w:eastAsia="Calibri" w:hAnsi="Calibri"/>
          <w:color w:val="1C1917"/>
          <w:sz w:val="22"/>
          <w:szCs w:val="22"/>
          <w:shd w:fill="E8E6E1" w:color="auto" w:val="clear"/>
        </w:rPr>
        <w:t xml:space="preserve">[Fx alle dage kl. 00-24]</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Tilgængelighed</w:t>
      </w:r>
      <w:r>
        <w:t xml:space="preserve">	</w:t>
      </w:r>
      <w:r>
        <w:rPr>
          <w:rFonts w:ascii="Calibri" w:cs="Calibri" w:eastAsia="Calibri" w:hAnsi="Calibri"/>
          <w:color w:val="1C1917"/>
          <w:sz w:val="22"/>
          <w:szCs w:val="22"/>
          <w:shd w:fill="E8E6E1" w:color="auto" w:val="clear"/>
        </w:rPr>
        <w:t xml:space="preserve">[Procent]</w:t>
      </w:r>
      <w:r>
        <w:rPr>
          <w:rFonts w:ascii="Calibri" w:cs="Calibri" w:eastAsia="Calibri" w:hAnsi="Calibri"/>
          <w:color w:val="1C1917"/>
          <w:sz w:val="22"/>
          <w:szCs w:val="22"/>
        </w:rPr>
        <w:t xml:space="preserve"> % pr. </w:t>
      </w:r>
      <w:r>
        <w:rPr>
          <w:rFonts w:ascii="Calibri" w:cs="Calibri" w:eastAsia="Calibri" w:hAnsi="Calibri"/>
          <w:color w:val="1C1917"/>
          <w:sz w:val="22"/>
          <w:szCs w:val="22"/>
          <w:shd w:fill="E8E6E1" w:color="auto" w:val="clear"/>
        </w:rPr>
        <w:t xml:space="preserve">[måned]</w:t>
      </w:r>
      <w:r>
        <w:rPr>
          <w:rFonts w:ascii="Calibri" w:cs="Calibri" w:eastAsia="Calibri" w:hAnsi="Calibri"/>
          <w:color w:val="1C1917"/>
          <w:sz w:val="22"/>
          <w:szCs w:val="22"/>
        </w:rPr>
        <w:t xml:space="preserve">, målt ved </w:t>
      </w:r>
      <w:r>
        <w:rPr>
          <w:rFonts w:ascii="Calibri" w:cs="Calibri" w:eastAsia="Calibri" w:hAnsi="Calibri"/>
          <w:color w:val="1C1917"/>
          <w:sz w:val="22"/>
          <w:szCs w:val="22"/>
          <w:shd w:fill="E8E6E1" w:color="auto" w:val="clear"/>
        </w:rPr>
        <w:t xml:space="preserve">[målepunkt, fx leverandørens internetudgang]</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Planlagt vedligeholdelse</w:t>
      </w:r>
      <w:r>
        <w:t xml:space="preserve">	</w:t>
      </w:r>
      <w:r>
        <w:rPr>
          <w:rFonts w:ascii="Calibri" w:cs="Calibri" w:eastAsia="Calibri" w:hAnsi="Calibri"/>
          <w:color w:val="1C1917"/>
          <w:sz w:val="22"/>
          <w:szCs w:val="22"/>
          <w:shd w:fill="E8E6E1" w:color="auto" w:val="clear"/>
        </w:rPr>
        <w:t xml:space="preserve">[Tidsvindue]</w:t>
      </w:r>
      <w:r>
        <w:rPr>
          <w:rFonts w:ascii="Calibri" w:cs="Calibri" w:eastAsia="Calibri" w:hAnsi="Calibri"/>
          <w:color w:val="1C1917"/>
          <w:sz w:val="22"/>
          <w:szCs w:val="22"/>
        </w:rPr>
        <w:t xml:space="preserve">, varslet mindst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arbejdsdage før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Reaktionstid A/B/C-fejl</w:t>
      </w:r>
      <w:r>
        <w:t xml:space="preserve">	</w:t>
      </w:r>
      <w:r>
        <w:rPr>
          <w:rFonts w:ascii="Calibri" w:cs="Calibri" w:eastAsia="Calibri" w:hAnsi="Calibri"/>
          <w:color w:val="1C1917"/>
          <w:sz w:val="22"/>
          <w:szCs w:val="22"/>
          <w:shd w:fill="E8E6E1" w:color="auto" w:val="clear"/>
        </w:rPr>
        <w:t xml:space="preserve">[Tid]</w:t>
      </w:r>
      <w:r>
        <w:rPr>
          <w:rFonts w:ascii="Calibri" w:cs="Calibri" w:eastAsia="Calibri" w:hAnsi="Calibri"/>
          <w:color w:val="1C1917"/>
          <w:sz w:val="22"/>
          <w:szCs w:val="22"/>
        </w:rPr>
        <w:t xml:space="preserve"> / </w:t>
      </w:r>
      <w:r>
        <w:rPr>
          <w:rFonts w:ascii="Calibri" w:cs="Calibri" w:eastAsia="Calibri" w:hAnsi="Calibri"/>
          <w:color w:val="1C1917"/>
          <w:sz w:val="22"/>
          <w:szCs w:val="22"/>
          <w:shd w:fill="E8E6E1" w:color="auto" w:val="clear"/>
        </w:rPr>
        <w:t xml:space="preserve">[Tid]</w:t>
      </w:r>
      <w:r>
        <w:rPr>
          <w:rFonts w:ascii="Calibri" w:cs="Calibri" w:eastAsia="Calibri" w:hAnsi="Calibri"/>
          <w:color w:val="1C1917"/>
          <w:sz w:val="22"/>
          <w:szCs w:val="22"/>
        </w:rPr>
        <w:t xml:space="preserve"> / </w:t>
      </w:r>
      <w:r>
        <w:rPr>
          <w:rFonts w:ascii="Calibri" w:cs="Calibri" w:eastAsia="Calibri" w:hAnsi="Calibri"/>
          <w:color w:val="1C1917"/>
          <w:sz w:val="22"/>
          <w:szCs w:val="22"/>
          <w:shd w:fill="E8E6E1" w:color="auto" w:val="clear"/>
        </w:rPr>
        <w:t xml:space="preserve">[Tid]</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Løsningstid A/B/C-fejl</w:t>
      </w:r>
      <w:r>
        <w:t xml:space="preserve">	</w:t>
      </w:r>
      <w:r>
        <w:rPr>
          <w:rFonts w:ascii="Calibri" w:cs="Calibri" w:eastAsia="Calibri" w:hAnsi="Calibri"/>
          <w:color w:val="1C1917"/>
          <w:sz w:val="22"/>
          <w:szCs w:val="22"/>
          <w:shd w:fill="E8E6E1" w:color="auto" w:val="clear"/>
        </w:rPr>
        <w:t xml:space="preserve">[Tid]</w:t>
      </w:r>
      <w:r>
        <w:rPr>
          <w:rFonts w:ascii="Calibri" w:cs="Calibri" w:eastAsia="Calibri" w:hAnsi="Calibri"/>
          <w:color w:val="1C1917"/>
          <w:sz w:val="22"/>
          <w:szCs w:val="22"/>
        </w:rPr>
        <w:t xml:space="preserve"> / </w:t>
      </w:r>
      <w:r>
        <w:rPr>
          <w:rFonts w:ascii="Calibri" w:cs="Calibri" w:eastAsia="Calibri" w:hAnsi="Calibri"/>
          <w:color w:val="1C1917"/>
          <w:sz w:val="22"/>
          <w:szCs w:val="22"/>
          <w:shd w:fill="E8E6E1" w:color="auto" w:val="clear"/>
        </w:rPr>
        <w:t xml:space="preserve">[Tid]</w:t>
      </w:r>
      <w:r>
        <w:rPr>
          <w:rFonts w:ascii="Calibri" w:cs="Calibri" w:eastAsia="Calibri" w:hAnsi="Calibri"/>
          <w:color w:val="1C1917"/>
          <w:sz w:val="22"/>
          <w:szCs w:val="22"/>
        </w:rPr>
        <w:t xml:space="preserve"> / </w:t>
      </w:r>
      <w:r>
        <w:rPr>
          <w:rFonts w:ascii="Calibri" w:cs="Calibri" w:eastAsia="Calibri" w:hAnsi="Calibri"/>
          <w:color w:val="1C1917"/>
          <w:sz w:val="22"/>
          <w:szCs w:val="22"/>
          <w:shd w:fill="E8E6E1" w:color="auto" w:val="clear"/>
        </w:rPr>
        <w:t xml:space="preserve">[Tid]</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Rapportering</w:t>
      </w:r>
      <w:r>
        <w:t xml:space="preserve">	</w:t>
      </w:r>
      <w:r>
        <w:rPr>
          <w:rFonts w:ascii="Calibri" w:cs="Calibri" w:eastAsia="Calibri" w:hAnsi="Calibri"/>
          <w:color w:val="1C1917"/>
          <w:sz w:val="22"/>
          <w:szCs w:val="22"/>
          <w:shd w:fill="E8E6E1" w:color="auto" w:val="clear"/>
        </w:rPr>
        <w:t xml:space="preserve">[Månedlig]</w:t>
      </w:r>
      <w:r>
        <w:rPr>
          <w:rFonts w:ascii="Calibri" w:cs="Calibri" w:eastAsia="Calibri" w:hAnsi="Calibri"/>
          <w:color w:val="1C1917"/>
          <w:sz w:val="22"/>
          <w:szCs w:val="22"/>
        </w:rPr>
        <w:t xml:space="preserve"> rapport om tilgængelighed og fejl</w:t>
      </w:r>
    </w:p>
    <w:p>
      <w:pPr>
        <w:spacing w:after="120" w:line="288" w:lineRule="auto"/>
      </w:pPr>
      <w:r>
        <w:rPr>
          <w:rFonts w:ascii="Calibri" w:cs="Calibri" w:eastAsia="Calibri" w:hAnsi="Calibri"/>
          <w:color w:val="1C1917"/>
          <w:sz w:val="22"/>
          <w:szCs w:val="22"/>
        </w:rPr>
        <w:t xml:space="preserve">Opfylder leverandøren ikke servicemålene, har kunden krav på servicekreditter efter bilag 5. Servicekreditter fratrækkes i næste faktura og udelukker ikke andre beføjelser ved væsentlig misligholdelse.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Vederlag og betaling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Fast pris: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ekskl. moms for Modul A, betalt efter betalingsplanen i bilag 4.</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Medgået tid: </w:t>
      </w:r>
      <w:r>
        <w:rPr>
          <w:rFonts w:ascii="Calibri" w:cs="Calibri" w:eastAsia="Calibri" w:hAnsi="Calibri"/>
          <w:color w:val="1C1917"/>
          <w:sz w:val="22"/>
          <w:szCs w:val="22"/>
          <w:shd w:fill="E8E6E1" w:color="auto" w:val="clear"/>
        </w:rPr>
        <w:t xml:space="preserve">[Timepris]</w:t>
      </w:r>
      <w:r>
        <w:rPr>
          <w:rFonts w:ascii="Calibri" w:cs="Calibri" w:eastAsia="Calibri" w:hAnsi="Calibri"/>
          <w:color w:val="1C1917"/>
          <w:sz w:val="22"/>
          <w:szCs w:val="22"/>
        </w:rPr>
        <w:t xml:space="preserve"> kr. pr. time ekskl. moms, højst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uden kundens skriftlige godkendelse.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Abonnement (Modul B):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ekskl. moms pr. </w:t>
      </w:r>
      <w:r>
        <w:rPr>
          <w:rFonts w:ascii="Calibri" w:cs="Calibri" w:eastAsia="Calibri" w:hAnsi="Calibri"/>
          <w:color w:val="1C1917"/>
          <w:sz w:val="22"/>
          <w:szCs w:val="22"/>
          <w:shd w:fill="E8E6E1" w:color="auto" w:val="clear"/>
        </w:rPr>
        <w:t xml:space="preserve">[måned / år]</w:t>
      </w:r>
      <w:r>
        <w:rPr>
          <w:rFonts w:ascii="Calibri" w:cs="Calibri" w:eastAsia="Calibri" w:hAnsi="Calibri"/>
          <w:color w:val="1C1917"/>
          <w:sz w:val="22"/>
          <w:szCs w:val="22"/>
        </w:rPr>
        <w:t xml:space="preserve"> for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brugere, faktureret </w:t>
      </w:r>
      <w:r>
        <w:rPr>
          <w:rFonts w:ascii="Calibri" w:cs="Calibri" w:eastAsia="Calibri" w:hAnsi="Calibri"/>
          <w:color w:val="1C1917"/>
          <w:sz w:val="22"/>
          <w:szCs w:val="22"/>
          <w:shd w:fill="E8E6E1" w:color="auto" w:val="clear"/>
        </w:rPr>
        <w:t xml:space="preserve">[forud / bagud]</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[månedsvis / kvartalsvis]</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Løbende vederlag kan reguleres én gang årligt pr.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med udviklingen i </w:t>
      </w:r>
      <w:r>
        <w:rPr>
          <w:rFonts w:ascii="Calibri" w:cs="Calibri" w:eastAsia="Calibri" w:hAnsi="Calibri"/>
          <w:color w:val="1C1917"/>
          <w:sz w:val="22"/>
          <w:szCs w:val="22"/>
          <w:shd w:fill="E8E6E1" w:color="auto" w:val="clear"/>
        </w:rPr>
        <w:t xml:space="preserve">[Indeks, fx Danmarks Statistiks nettoprisindeks]</w:t>
      </w:r>
      <w:r>
        <w:rPr>
          <w:rFonts w:ascii="Calibri" w:cs="Calibri" w:eastAsia="Calibri" w:hAnsi="Calibri"/>
          <w:color w:val="1C1917"/>
          <w:sz w:val="22"/>
          <w:szCs w:val="22"/>
        </w:rPr>
        <w:t xml:space="preserve">, dog højst </w:t>
      </w:r>
      <w:r>
        <w:rPr>
          <w:rFonts w:ascii="Calibri" w:cs="Calibri" w:eastAsia="Calibri" w:hAnsi="Calibri"/>
          <w:color w:val="1C1917"/>
          <w:sz w:val="22"/>
          <w:szCs w:val="22"/>
          <w:shd w:fill="E8E6E1" w:color="auto" w:val="clear"/>
        </w:rPr>
        <w:t xml:space="preserve">[Procent]</w:t>
      </w:r>
      <w:r>
        <w:rPr>
          <w:rFonts w:ascii="Calibri" w:cs="Calibri" w:eastAsia="Calibri" w:hAnsi="Calibri"/>
          <w:color w:val="1C1917"/>
          <w:sz w:val="22"/>
          <w:szCs w:val="22"/>
        </w:rPr>
        <w:t xml:space="preserve"> % pr. år, med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måneders skriftligt varsel.</w:t>
      </w:r>
    </w:p>
    <w:p>
      <w:pPr>
        <w:spacing w:after="120" w:line="288" w:lineRule="auto"/>
      </w:pPr>
      <w:r>
        <w:rPr>
          <w:rFonts w:ascii="Calibri" w:cs="Calibri" w:eastAsia="Calibri" w:hAnsi="Calibri"/>
          <w:color w:val="1C1917"/>
          <w:sz w:val="22"/>
          <w:szCs w:val="22"/>
        </w:rPr>
        <w:t xml:space="preserve">Betalingsfristen er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fra modtagelse af korrekt faktura. Ved forsinket betaling betales morarente efter renteloven.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Ved fast pris for Modul A bør en del af vederlaget først forfalde ved bestået overtagelses- eller driftsprøve. Det giver leverandøren en tilskyndelse til at levere fejlfrit.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Forsinkelse</w:t>
      </w:r>
    </w:p>
    <w:p>
      <w:pPr>
        <w:spacing w:after="120" w:line="288" w:lineRule="auto"/>
      </w:pPr>
      <w:r>
        <w:rPr>
          <w:rFonts w:ascii="Calibri" w:cs="Calibri" w:eastAsia="Calibri" w:hAnsi="Calibri"/>
          <w:color w:val="1C1917"/>
          <w:sz w:val="22"/>
          <w:szCs w:val="22"/>
        </w:rPr>
        <w:t xml:space="preserve">Overholder leverandøren ikke en bindende milepæl, betaler leverandøren en dagbod på </w:t>
      </w:r>
      <w:r>
        <w:rPr>
          <w:rFonts w:ascii="Calibri" w:cs="Calibri" w:eastAsia="Calibri" w:hAnsi="Calibri"/>
          <w:color w:val="1C1917"/>
          <w:sz w:val="22"/>
          <w:szCs w:val="22"/>
          <w:shd w:fill="E8E6E1" w:color="auto" w:val="clear"/>
        </w:rPr>
        <w:t xml:space="preserve">[Promille]</w:t>
      </w:r>
      <w:r>
        <w:rPr>
          <w:rFonts w:ascii="Calibri" w:cs="Calibri" w:eastAsia="Calibri" w:hAnsi="Calibri"/>
          <w:color w:val="1C1917"/>
          <w:sz w:val="22"/>
          <w:szCs w:val="22"/>
        </w:rPr>
        <w:t xml:space="preserve"> ‰ af </w:t>
      </w:r>
      <w:r>
        <w:rPr>
          <w:rFonts w:ascii="Calibri" w:cs="Calibri" w:eastAsia="Calibri" w:hAnsi="Calibri"/>
          <w:color w:val="1C1917"/>
          <w:sz w:val="22"/>
          <w:szCs w:val="22"/>
          <w:shd w:fill="E8E6E1" w:color="auto" w:val="clear"/>
        </w:rPr>
        <w:t xml:space="preserve">[det samlede vederlag for Modul A / det årlige vederlag]</w:t>
      </w:r>
      <w:r>
        <w:rPr>
          <w:rFonts w:ascii="Calibri" w:cs="Calibri" w:eastAsia="Calibri" w:hAnsi="Calibri"/>
          <w:color w:val="1C1917"/>
          <w:sz w:val="22"/>
          <w:szCs w:val="22"/>
        </w:rPr>
        <w:t xml:space="preserve"> pr. arbejdsdag, forsinkelsen varer, dog højst </w:t>
      </w:r>
      <w:r>
        <w:rPr>
          <w:rFonts w:ascii="Calibri" w:cs="Calibri" w:eastAsia="Calibri" w:hAnsi="Calibri"/>
          <w:color w:val="1C1917"/>
          <w:sz w:val="22"/>
          <w:szCs w:val="22"/>
          <w:shd w:fill="E8E6E1" w:color="auto" w:val="clear"/>
        </w:rPr>
        <w:t xml:space="preserve">[Procent]</w:t>
      </w:r>
      <w:r>
        <w:rPr>
          <w:rFonts w:ascii="Calibri" w:cs="Calibri" w:eastAsia="Calibri" w:hAnsi="Calibri"/>
          <w:color w:val="1C1917"/>
          <w:sz w:val="22"/>
          <w:szCs w:val="22"/>
        </w:rPr>
        <w:t xml:space="preserve"> % i alt.</w:t>
      </w:r>
    </w:p>
    <w:p>
      <w:pPr>
        <w:spacing w:after="120" w:line="288" w:lineRule="auto"/>
      </w:pPr>
      <w:r>
        <w:rPr>
          <w:rFonts w:ascii="Calibri" w:cs="Calibri" w:eastAsia="Calibri" w:hAnsi="Calibri"/>
          <w:color w:val="1C1917"/>
          <w:sz w:val="22"/>
          <w:szCs w:val="22"/>
        </w:rPr>
        <w:t xml:space="preserve">Kunden kan hæve aftalen helt eller delvist, hvis forsinkelsen overstiger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arbejdsdage, eller den maksimale bod er nået. Dagboden </w:t>
      </w:r>
      <w:r>
        <w:rPr>
          <w:rFonts w:ascii="Calibri" w:cs="Calibri" w:eastAsia="Calibri" w:hAnsi="Calibri"/>
          <w:color w:val="1C1917"/>
          <w:sz w:val="22"/>
          <w:szCs w:val="22"/>
          <w:shd w:fill="E8E6E1" w:color="auto" w:val="clear"/>
        </w:rPr>
        <w:t xml:space="preserve">[er / er ikke]</w:t>
      </w:r>
      <w:r>
        <w:rPr>
          <w:rFonts w:ascii="Calibri" w:cs="Calibri" w:eastAsia="Calibri" w:hAnsi="Calibri"/>
          <w:color w:val="1C1917"/>
          <w:sz w:val="22"/>
          <w:szCs w:val="22"/>
        </w:rPr>
        <w:t xml:space="preserve"> kundens eneste beføjelse ved forsinkelse, der ikke berettiger til ophævelse.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Skriv tydeligt, om boden er den eneste kompensation for forsinkelse. Er boden eneste beføjelse, bør kunden altid kunne hæve, når maksimum er nået - ellers kan leverandøren "købe sig til" ubegrænset forsinkelse.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Mangler</w:t>
      </w:r>
    </w:p>
    <w:p>
      <w:pPr>
        <w:spacing w:after="120" w:line="288" w:lineRule="auto"/>
      </w:pPr>
      <w:r>
        <w:rPr>
          <w:rFonts w:ascii="Calibri" w:cs="Calibri" w:eastAsia="Calibri" w:hAnsi="Calibri"/>
          <w:color w:val="1C1917"/>
          <w:sz w:val="22"/>
          <w:szCs w:val="22"/>
        </w:rPr>
        <w:t xml:space="preserve">Der er en mangel, hvis ydelsen ikke opfylder kontrakten, kravspecifikationen eller de servicemål, der er aftalt. Leverandøren skal afhjælpe mangler inden de frister, der gælder for fejlkategorien, og uden beregning.</w:t>
      </w:r>
    </w:p>
    <w:p>
      <w:pPr>
        <w:spacing w:after="120" w:line="288" w:lineRule="auto"/>
      </w:pPr>
      <w:r>
        <w:rPr>
          <w:rFonts w:ascii="Calibri" w:cs="Calibri" w:eastAsia="Calibri" w:hAnsi="Calibri"/>
          <w:color w:val="1C1917"/>
          <w:sz w:val="22"/>
          <w:szCs w:val="22"/>
        </w:rPr>
        <w:t xml:space="preserve">Afhjælper leverandøren ikke inden fristen, kan kunden kræve et forholdsmæssigt afslag eller lade manglen afhjælpe af tredjemand for leverandørens regning. Er manglen væsentlig, kan kunden hæve aftalen helt eller delvist.</w:t>
      </w:r>
    </w:p>
    <w:p>
      <w:pPr>
        <w:spacing w:after="120" w:line="288" w:lineRule="auto"/>
      </w:pPr>
      <w:r>
        <w:rPr>
          <w:rFonts w:ascii="Calibri" w:cs="Calibri" w:eastAsia="Calibri" w:hAnsi="Calibri"/>
          <w:color w:val="1C1917"/>
          <w:sz w:val="22"/>
          <w:szCs w:val="22"/>
        </w:rPr>
        <w:t xml:space="preserve">Kunden skal reklamere inden rimelig tid efter, at manglen er opdaget. For Modul A gælder en garantiperiode på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 fra overtagelsesdagen, hvor leverandøren afhjælper alle mangler uden beregning.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Ansvar og ansvarsbegrænsning</w:t>
      </w:r>
    </w:p>
    <w:p>
      <w:pPr>
        <w:spacing w:after="120" w:line="288" w:lineRule="auto"/>
      </w:pPr>
      <w:r>
        <w:rPr>
          <w:rFonts w:ascii="Calibri" w:cs="Calibri" w:eastAsia="Calibri" w:hAnsi="Calibri"/>
          <w:color w:val="1C1917"/>
          <w:sz w:val="22"/>
          <w:szCs w:val="22"/>
        </w:rPr>
        <w:t xml:space="preserve">Parterne er ansvarlige efter dansk rets almindelige regler med følgende begrænsninger:</w:t>
      </w:r>
    </w:p>
    <w:p>
      <w:pPr>
        <w:tabs>
          <w:tab w:val="left" w:pos="760"/>
        </w:tabs>
        <w:spacing w:after="70" w:line="288" w:lineRule="auto"/>
        <w:ind w:left="760" w:hanging="400"/>
      </w:pPr>
      <w:r>
        <w:rPr>
          <w:rFonts w:ascii="Calibri" w:cs="Calibri" w:eastAsia="Calibri" w:hAnsi="Calibri"/>
          <w:b/>
          <w:bCs/>
          <w:color w:val="9A7032"/>
          <w:sz w:val="22"/>
          <w:szCs w:val="22"/>
        </w:rPr>
        <w:t xml:space="preserve">1.</w:t>
      </w:r>
      <w:r>
        <w:t xml:space="preserve">	</w:t>
      </w:r>
      <w:r>
        <w:rPr>
          <w:rFonts w:ascii="Calibri" w:cs="Calibri" w:eastAsia="Calibri" w:hAnsi="Calibri"/>
          <w:color w:val="1C1917"/>
          <w:sz w:val="22"/>
          <w:szCs w:val="22"/>
        </w:rPr>
        <w:t xml:space="preserve">En parts samlede erstatningsansvar er begrænset til </w:t>
      </w:r>
      <w:r>
        <w:rPr>
          <w:rFonts w:ascii="Calibri" w:cs="Calibri" w:eastAsia="Calibri" w:hAnsi="Calibri"/>
          <w:color w:val="1C1917"/>
          <w:sz w:val="22"/>
          <w:szCs w:val="22"/>
          <w:shd w:fill="E8E6E1" w:color="auto" w:val="clear"/>
        </w:rPr>
        <w:t xml:space="preserve">[det samlede vederlag for de seneste 12 måneder / kr. (beløb)]</w:t>
      </w:r>
      <w:r>
        <w:rPr>
          <w:rFonts w:ascii="Calibri" w:cs="Calibri" w:eastAsia="Calibri" w:hAnsi="Calibri"/>
          <w:color w:val="1C1917"/>
          <w:sz w:val="22"/>
          <w:szCs w:val="22"/>
        </w:rPr>
        <w:t xml:space="preserve">.</w:t>
      </w:r>
    </w:p>
    <w:p>
      <w:pPr>
        <w:tabs>
          <w:tab w:val="left" w:pos="760"/>
        </w:tabs>
        <w:spacing w:after="70" w:line="288" w:lineRule="auto"/>
        <w:ind w:left="760" w:hanging="400"/>
      </w:pPr>
      <w:r>
        <w:rPr>
          <w:rFonts w:ascii="Calibri" w:cs="Calibri" w:eastAsia="Calibri" w:hAnsi="Calibri"/>
          <w:b/>
          <w:bCs/>
          <w:color w:val="9A7032"/>
          <w:sz w:val="22"/>
          <w:szCs w:val="22"/>
        </w:rPr>
        <w:t xml:space="preserve">2.</w:t>
      </w:r>
      <w:r>
        <w:t xml:space="preserve">	</w:t>
      </w:r>
      <w:r>
        <w:rPr>
          <w:rFonts w:ascii="Calibri" w:cs="Calibri" w:eastAsia="Calibri" w:hAnsi="Calibri"/>
          <w:color w:val="1C1917"/>
          <w:sz w:val="22"/>
          <w:szCs w:val="22"/>
        </w:rPr>
        <w:t xml:space="preserve">Ingen af parterne er ansvarlig for driftstab, avancetab eller andet indirekte tab.</w:t>
      </w:r>
    </w:p>
    <w:p>
      <w:pPr>
        <w:tabs>
          <w:tab w:val="left" w:pos="760"/>
        </w:tabs>
        <w:spacing w:after="70" w:line="288" w:lineRule="auto"/>
        <w:ind w:left="760" w:hanging="400"/>
      </w:pPr>
      <w:r>
        <w:rPr>
          <w:rFonts w:ascii="Calibri" w:cs="Calibri" w:eastAsia="Calibri" w:hAnsi="Calibri"/>
          <w:b/>
          <w:bCs/>
          <w:color w:val="9A7032"/>
          <w:sz w:val="22"/>
          <w:szCs w:val="22"/>
        </w:rPr>
        <w:t xml:space="preserve">3.</w:t>
      </w:r>
      <w:r>
        <w:t xml:space="preserve">	</w:t>
      </w:r>
      <w:r>
        <w:rPr>
          <w:rFonts w:ascii="Calibri" w:cs="Calibri" w:eastAsia="Calibri" w:hAnsi="Calibri"/>
          <w:color w:val="1C1917"/>
          <w:sz w:val="22"/>
          <w:szCs w:val="22"/>
        </w:rPr>
        <w:t xml:space="preserve">Uanset punkt 2 er tab af data og udgifter til retablering af data omfattet af ansvaret, hvis tabet skyldes, at leverandøren har tilsidesat sine forpligtelser om sikkerhedskopiering eller informationssikkerhed.</w:t>
      </w:r>
    </w:p>
    <w:p>
      <w:pPr>
        <w:spacing w:after="120" w:line="288" w:lineRule="auto"/>
      </w:pPr>
      <w:r>
        <w:rPr>
          <w:rFonts w:ascii="Calibri" w:cs="Calibri" w:eastAsia="Calibri" w:hAnsi="Calibri"/>
          <w:color w:val="1C1917"/>
          <w:sz w:val="22"/>
          <w:szCs w:val="22"/>
        </w:rPr>
        <w:t xml:space="preserve">Begrænsningerne gælder ikke, hvis tabet er forvoldt med forsæt eller ved grov uagtsomhed, eller hvis det skyldes brud på fortrolighed (afsnit 15) eller databehandleraftalen (bilag 8). Begrænsningerne gælder heller ikke kundens pligt til at betale vederlag eller en parts pligt til at holde den anden skadesløs efter afsnit 14.</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En ansvarsbegrænsning, der også dækker forsæt og grov uagtsomhed, vil som regel blive tilsidesat (aftaleloven § 36). Overvej et særskilt, højere loft for databrud, hvis kundens data er følsomme.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Rettigheder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Ophavsret og andre rettigheder til programmel, der er specialudviklet til kunden, overdrages til kunden ved betaling, med ret til at ændre og overdrage det. Leverandøren udleverer kildekode og dokumentation.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Kunden får en tidsubegrænset, ikke-eksklusiv brugsret til specialudviklet programmel, med ret til at lade tredjemand vedligeholde og videreudvikle det. Leverandøren udleverer kildekode og dokumentation.</w:t>
      </w:r>
    </w:p>
    <w:p>
      <w:pPr>
        <w:spacing w:after="120" w:line="288" w:lineRule="auto"/>
      </w:pPr>
      <w:r>
        <w:rPr>
          <w:rFonts w:ascii="Calibri" w:cs="Calibri" w:eastAsia="Calibri" w:hAnsi="Calibri"/>
          <w:color w:val="1C1917"/>
          <w:sz w:val="22"/>
          <w:szCs w:val="22"/>
        </w:rPr>
        <w:t xml:space="preserve">Standardprogrammel og tredjepartsprogrammel er omfattet af licensvilkårene i bilag 7, som også indeholder en liste over open source-komponenter og deres licenser.</w:t>
      </w:r>
    </w:p>
    <w:p>
      <w:pPr>
        <w:spacing w:after="120" w:line="288" w:lineRule="auto"/>
      </w:pPr>
      <w:r>
        <w:rPr>
          <w:rFonts w:ascii="Calibri" w:cs="Calibri" w:eastAsia="Calibri" w:hAnsi="Calibri"/>
          <w:color w:val="1C1917"/>
          <w:sz w:val="22"/>
          <w:szCs w:val="22"/>
        </w:rPr>
        <w:t xml:space="preserve">Kundedata tilhører kunden. Leverandøren må kun bruge kundedata til at levere ydelsen efter kundens instruks og ikke til egne formål, herunder ikke til at udvikle eller træne egne produkter eller modeller, uden kundens forudgående skriftlige samtykke.</w:t>
      </w:r>
    </w:p>
    <w:p>
      <w:pPr>
        <w:spacing w:after="120" w:line="288" w:lineRule="auto"/>
      </w:pPr>
      <w:r>
        <w:rPr>
          <w:rFonts w:ascii="Calibri" w:cs="Calibri" w:eastAsia="Calibri" w:hAnsi="Calibri"/>
          <w:color w:val="1C1917"/>
          <w:sz w:val="22"/>
          <w:szCs w:val="22"/>
        </w:rPr>
        <w:t xml:space="preserve">Gør tredjemand gældende, at ydelsen krænker tredjemands rettigheder, overtager leverandøren sagen for egen regning og holder kunden skadesløs, medmindre krænkelsen skyldes materiale eller instrukser fra kunden. I så fald holder kunden leverandøren skadesløs. Den part, der modtager kravet, giver straks den anden part skriftlig besked og medvirker til sagen.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En overdragelse af ophavsret fortolkes snævert: Kunden får kun de rettigheder, der klart fremgår af aftalen (ophavsretsloven § 53, stk. 3). Står der intet, beholder leverandøren som udgangspunkt rettighederne, og kunden får kun en brugsret i det omfang, aftalens formål forudsætter.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Fortrolighed</w:t>
      </w:r>
    </w:p>
    <w:p>
      <w:pPr>
        <w:spacing w:after="120" w:line="288" w:lineRule="auto"/>
      </w:pPr>
      <w:r>
        <w:rPr>
          <w:rFonts w:ascii="Calibri" w:cs="Calibri" w:eastAsia="Calibri" w:hAnsi="Calibri"/>
          <w:color w:val="1C1917"/>
          <w:sz w:val="22"/>
          <w:szCs w:val="22"/>
        </w:rPr>
        <w:t xml:space="preserve">Parterne skal behandle oplysninger om den anden parts forhold, som de får kendskab til i forbindelse med kontrakten, fortroligt. Pligten gælder også for medarbejdere og underleverandører og fortsætter i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år efter kontraktens ophør. Pligten gælder ikke oplysninger, der er offentligt tilgængelige, eller som en part er forpligtet til at udlevere efter lov.</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Persondata og informationssikkerhed</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Behandler leverandøren personoplysninger for kunden, gælder databehandleraftalen i bilag 8.</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Leverandøren overholder sikkerhedskravene i bilag 9.</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Leverandøren underretter kunden om sikkerhedshændelser, der påvirker kunden eller kundedata, uden unødig forsinkelse og senest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timer efter, at leverandøren er blevet opmærksom på hændelsen.</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Leverandøren fremsender hvert år en </w:t>
      </w:r>
      <w:r>
        <w:rPr>
          <w:rFonts w:ascii="Calibri" w:cs="Calibri" w:eastAsia="Calibri" w:hAnsi="Calibri"/>
          <w:color w:val="1C1917"/>
          <w:sz w:val="22"/>
          <w:szCs w:val="22"/>
          <w:shd w:fill="E8E6E1" w:color="auto" w:val="clear"/>
        </w:rPr>
        <w:t xml:space="preserve">[ISAE 3000 / ISAE 3402 / anden]</w:t>
      </w:r>
      <w:r>
        <w:rPr>
          <w:rFonts w:ascii="Calibri" w:cs="Calibri" w:eastAsia="Calibri" w:hAnsi="Calibri"/>
          <w:color w:val="1C1917"/>
          <w:sz w:val="22"/>
          <w:szCs w:val="22"/>
        </w:rPr>
        <w:t xml:space="preserve"> erklæring om informationssikkerhed fra en uafhængig revisor.</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Kundedata opbevares og behandles inden for </w:t>
      </w:r>
      <w:r>
        <w:rPr>
          <w:rFonts w:ascii="Calibri" w:cs="Calibri" w:eastAsia="Calibri" w:hAnsi="Calibri"/>
          <w:color w:val="1C1917"/>
          <w:sz w:val="22"/>
          <w:szCs w:val="22"/>
          <w:shd w:fill="E8E6E1" w:color="auto" w:val="clear"/>
        </w:rPr>
        <w:t xml:space="preserve">[EU/EØS / Danmark]</w:t>
      </w:r>
      <w:r>
        <w:rPr>
          <w:rFonts w:ascii="Calibri" w:cs="Calibri" w:eastAsia="Calibri" w:hAnsi="Calibri"/>
          <w:color w:val="1C1917"/>
          <w:sz w:val="22"/>
          <w:szCs w:val="22"/>
        </w:rPr>
        <w:t xml:space="preserve">, medmindre kunden skriftligt har godkendt andet.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Underleverandører</w:t>
      </w:r>
    </w:p>
    <w:p>
      <w:pPr>
        <w:spacing w:after="120" w:line="288" w:lineRule="auto"/>
      </w:pPr>
      <w:r>
        <w:rPr>
          <w:rFonts w:ascii="Calibri" w:cs="Calibri" w:eastAsia="Calibri" w:hAnsi="Calibri"/>
          <w:color w:val="1C1917"/>
          <w:sz w:val="22"/>
          <w:szCs w:val="22"/>
        </w:rPr>
        <w:t xml:space="preserve">Leverandøren må bruge de underleverandører, der er nævnt i bilag 3. Nye underleverandører kræver kundens forudgående skriftlige godkendelse, som ikke må nægtes uden saglig grund. Leverandøren hæfter for underleverandører som for sig selv.</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Varighed og opsigelse</w:t>
      </w:r>
    </w:p>
    <w:p>
      <w:pPr>
        <w:spacing w:after="120" w:line="288" w:lineRule="auto"/>
      </w:pPr>
      <w:r>
        <w:rPr>
          <w:rFonts w:ascii="Calibri" w:cs="Calibri" w:eastAsia="Calibri" w:hAnsi="Calibri"/>
          <w:color w:val="1C1917"/>
          <w:sz w:val="22"/>
          <w:szCs w:val="22"/>
        </w:rPr>
        <w:t xml:space="preserve">Kontrakten træder i kraft ved underskrift. </w:t>
      </w:r>
      <w:r>
        <w:rPr>
          <w:rFonts w:ascii="Calibri" w:cs="Calibri" w:eastAsia="Calibri" w:hAnsi="Calibri"/>
          <w:color w:val="1C1917"/>
          <w:sz w:val="22"/>
          <w:szCs w:val="22"/>
          <w:shd w:fill="E8E6E1" w:color="auto" w:val="clear"/>
        </w:rPr>
        <w:t xml:space="preserve">[Modul B gælder i (antal) år fra (dato) og fortsætter derefter, indtil den opsiges / Modul B gælder, indtil den opsiges.]</w:t>
      </w:r>
    </w:p>
    <w:p>
      <w:pPr>
        <w:spacing w:after="120" w:line="288" w:lineRule="auto"/>
      </w:pPr>
      <w:r>
        <w:rPr>
          <w:rFonts w:ascii="Calibri" w:cs="Calibri" w:eastAsia="Calibri" w:hAnsi="Calibri"/>
          <w:color w:val="1C1917"/>
          <w:sz w:val="22"/>
          <w:szCs w:val="22"/>
        </w:rPr>
        <w:t xml:space="preserve">Kunden kan opsige Modul B med </w:t>
      </w:r>
      <w:r>
        <w:rPr>
          <w:rFonts w:ascii="Calibri" w:cs="Calibri" w:eastAsia="Calibri" w:hAnsi="Calibri"/>
          <w:color w:val="1C1917"/>
          <w:sz w:val="22"/>
          <w:szCs w:val="22"/>
          <w:shd w:fill="E8E6E1" w:color="auto" w:val="clear"/>
        </w:rPr>
        <w:t xml:space="preserve">[Antal, højst 2]</w:t>
      </w:r>
      <w:r>
        <w:rPr>
          <w:rFonts w:ascii="Calibri" w:cs="Calibri" w:eastAsia="Calibri" w:hAnsi="Calibri"/>
          <w:color w:val="1C1917"/>
          <w:sz w:val="22"/>
          <w:szCs w:val="22"/>
        </w:rPr>
        <w:t xml:space="preserve"> måneders skriftligt varsel. Leverandøren kan opsige Modul B med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måneders skriftligt varsel, dog tidligst til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Hver part kan hæve kontrakten, hvis den anden part væsentligt misligholder den og ikke har bragt misligholdelsen til ophør inden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efter skriftligt påkrav.</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For cloud- og SaaS-ydelser kræver dataforordningen, at kunden kan indlede et skifte - eller få sine data og slette dem - med højst 2 måneders varsel (art. 25, stk. 2, litra d). En bindingsperiode kan aftales, men et gebyr for førtidig opsigelse skal oplyses før aftaleindgåelsen og må ikke reelt være et skiftegebyr (art. 29). Få rådgivning, hvis I vil kombinere de to.</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Exit og skifte af leverandør</w:t>
      </w:r>
    </w:p>
    <w:p>
      <w:pPr>
        <w:spacing w:after="120" w:line="288" w:lineRule="auto"/>
      </w:pPr>
      <w:r>
        <w:rPr>
          <w:rFonts w:ascii="Calibri" w:cs="Calibri" w:eastAsia="Calibri" w:hAnsi="Calibri"/>
          <w:color w:val="1C1917"/>
          <w:sz w:val="22"/>
          <w:szCs w:val="22"/>
        </w:rPr>
        <w:t xml:space="preserve">Når kontrakten eller et modul ophører, uanset årsag, skal leverandøren medvirke loyalt til, at kunden kan overgå til en anden leverandør eller til egen drift:</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Overgangsperiode:</w:t>
      </w:r>
      <w:r>
        <w:rPr>
          <w:rFonts w:ascii="Calibri" w:cs="Calibri" w:eastAsia="Calibri" w:hAnsi="Calibri"/>
          <w:color w:val="1C1917"/>
          <w:sz w:val="22"/>
          <w:szCs w:val="22"/>
        </w:rPr>
        <w:t xml:space="preserve"> leverandøren opretholder ydelsen uændret og yder rimelig bistand til skiftet i op til 30 kalenderdage efter opsigelsesvarslets udløb. Kunden kan én gang forlænge perioden med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Dataudtræk:</w:t>
      </w:r>
      <w:r>
        <w:rPr>
          <w:rFonts w:ascii="Calibri" w:cs="Calibri" w:eastAsia="Calibri" w:hAnsi="Calibri"/>
          <w:color w:val="1C1917"/>
          <w:sz w:val="22"/>
          <w:szCs w:val="22"/>
        </w:rPr>
        <w:t xml:space="preserve"> leverandøren udleverer de data og digitale aktiver, der er nævnt i exitplanen (bilag 10), i et struktureret, almindeligt anvendt og maskinlæsbart format. Listen er udtømmende og omfatter mindst alle eksporterbare kundedata og de metadata, der er nødvendige for at bruge dem. Data, der er undtaget af hensyn til leverandørens forretningshemmeligheder, står også udtømmende i bilag 10.</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Udtrækningsperiode:</w:t>
      </w:r>
      <w:r>
        <w:rPr>
          <w:rFonts w:ascii="Calibri" w:cs="Calibri" w:eastAsia="Calibri" w:hAnsi="Calibri"/>
          <w:color w:val="1C1917"/>
          <w:sz w:val="22"/>
          <w:szCs w:val="22"/>
        </w:rPr>
        <w:t xml:space="preserve"> kunden kan hente sine data i mindst </w:t>
      </w:r>
      <w:r>
        <w:rPr>
          <w:rFonts w:ascii="Calibri" w:cs="Calibri" w:eastAsia="Calibri" w:hAnsi="Calibri"/>
          <w:color w:val="1C1917"/>
          <w:sz w:val="22"/>
          <w:szCs w:val="22"/>
          <w:shd w:fill="E8E6E1" w:color="auto" w:val="clear"/>
        </w:rPr>
        <w:t xml:space="preserve">[Antal, mindst 30]</w:t>
      </w:r>
      <w:r>
        <w:rPr>
          <w:rFonts w:ascii="Calibri" w:cs="Calibri" w:eastAsia="Calibri" w:hAnsi="Calibri"/>
          <w:color w:val="1C1917"/>
          <w:sz w:val="22"/>
          <w:szCs w:val="22"/>
        </w:rPr>
        <w:t xml:space="preserve"> kalenderdage efter overgangsperiodens udløb.</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Bistand:</w:t>
      </w:r>
      <w:r>
        <w:rPr>
          <w:rFonts w:ascii="Calibri" w:cs="Calibri" w:eastAsia="Calibri" w:hAnsi="Calibri"/>
          <w:color w:val="1C1917"/>
          <w:sz w:val="22"/>
          <w:szCs w:val="22"/>
        </w:rPr>
        <w:t xml:space="preserve"> leverandøren yder transitionsbistand efter exitplanen til </w:t>
      </w:r>
      <w:r>
        <w:rPr>
          <w:rFonts w:ascii="Calibri" w:cs="Calibri" w:eastAsia="Calibri" w:hAnsi="Calibri"/>
          <w:color w:val="1C1917"/>
          <w:sz w:val="22"/>
          <w:szCs w:val="22"/>
          <w:shd w:fill="E8E6E1" w:color="auto" w:val="clear"/>
        </w:rPr>
        <w:t xml:space="preserve">[Timepris]</w:t>
      </w:r>
      <w:r>
        <w:rPr>
          <w:rFonts w:ascii="Calibri" w:cs="Calibri" w:eastAsia="Calibri" w:hAnsi="Calibri"/>
          <w:color w:val="1C1917"/>
          <w:sz w:val="22"/>
          <w:szCs w:val="22"/>
        </w:rPr>
        <w:t xml:space="preserve"> kr. pr. time ekskl. moms.</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Sletning:</w:t>
      </w:r>
      <w:r>
        <w:rPr>
          <w:rFonts w:ascii="Calibri" w:cs="Calibri" w:eastAsia="Calibri" w:hAnsi="Calibri"/>
          <w:color w:val="1C1917"/>
          <w:sz w:val="22"/>
          <w:szCs w:val="22"/>
        </w:rPr>
        <w:t xml:space="preserve"> efter udtrækningsperioden sletter leverandøren alle kundedata og bekræfter det skriftligt, medmindre lovgivningen kræver opbevaring.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Fra 12. januar 2027 opkræver leverandøren ikke gebyr for skifte eller dataudtræk. Indtil da kan leverandøren højst opkræve sine direkte omkostninger.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Kildekoden til </w:t>
      </w:r>
      <w:r>
        <w:rPr>
          <w:rFonts w:ascii="Calibri" w:cs="Calibri" w:eastAsia="Calibri" w:hAnsi="Calibri"/>
          <w:color w:val="1C1917"/>
          <w:sz w:val="22"/>
          <w:szCs w:val="22"/>
          <w:shd w:fill="E8E6E1" w:color="auto" w:val="clear"/>
        </w:rPr>
        <w:t xml:space="preserve">[Systemet]</w:t>
      </w:r>
      <w:r>
        <w:rPr>
          <w:rFonts w:ascii="Calibri" w:cs="Calibri" w:eastAsia="Calibri" w:hAnsi="Calibri"/>
          <w:color w:val="1C1917"/>
          <w:sz w:val="22"/>
          <w:szCs w:val="22"/>
        </w:rPr>
        <w:t xml:space="preserve"> deponeres hos </w:t>
      </w:r>
      <w:r>
        <w:rPr>
          <w:rFonts w:ascii="Calibri" w:cs="Calibri" w:eastAsia="Calibri" w:hAnsi="Calibri"/>
          <w:color w:val="1C1917"/>
          <w:sz w:val="22"/>
          <w:szCs w:val="22"/>
          <w:shd w:fill="E8E6E1" w:color="auto" w:val="clear"/>
        </w:rPr>
        <w:t xml:space="preserve">[Deponeringsagent]</w:t>
      </w:r>
      <w:r>
        <w:rPr>
          <w:rFonts w:ascii="Calibri" w:cs="Calibri" w:eastAsia="Calibri" w:hAnsi="Calibri"/>
          <w:color w:val="1C1917"/>
          <w:sz w:val="22"/>
          <w:szCs w:val="22"/>
        </w:rPr>
        <w:t xml:space="preserve"> og opdateres ved hver ny version. Kunden får adgang, hvis leverandøren tages under konkursbehandling eller ophører med at vedligeholde systemet (escrow).</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Efter dataforordningen art. 25 må overgangsperioden højst være 30 kalenderdage. Er det teknisk umuligt, skal leverandøren sige det med begrundelse inden 14 arbejdsdage efter anmodningen og angive en alternativ periode på højst 7 måneder. Kunden skal kunne forlænge overgangsperioden én gang. Udtrækningsperioden skal være mindst 30 kalenderdage, og listen over data skal stå i kontrakten. Fra 12. januar 2027 er skiftegebyrer forbudt; indtil da må de ikke overstige leverandørens direkte omkostninger (art. 29). Udfyld exitplanen (bilag 10) allerede ved kontraktindgåelsen.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Force majeure</w:t>
      </w:r>
    </w:p>
    <w:p>
      <w:pPr>
        <w:spacing w:after="120" w:line="288" w:lineRule="auto"/>
      </w:pPr>
      <w:r>
        <w:rPr>
          <w:rFonts w:ascii="Calibri" w:cs="Calibri" w:eastAsia="Calibri" w:hAnsi="Calibri"/>
          <w:color w:val="1C1917"/>
          <w:sz w:val="22"/>
          <w:szCs w:val="22"/>
        </w:rPr>
        <w:t xml:space="preserve">Ingen af parterne er ansvarlig for manglende opfyldelse, der skyldes forhold uden for partens kontrol, som parten ikke burde have forudset og ikke kunne have afværget, fx krig, naturkatastrofer, epidemier eller generelle strømsvigt. Mangel på arbejdskraft, forsinkelse hos underleverandører og angreb på informationssikkerheden, som rimelige sikkerhedsforanstaltninger kunne have forhindret, er ikke force majeure. Varer force majeure mere end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kan hver part opsige kontrakten med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dages varsel.</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Overdragelse</w:t>
      </w:r>
    </w:p>
    <w:p>
      <w:pPr>
        <w:spacing w:after="120" w:line="288" w:lineRule="auto"/>
      </w:pPr>
      <w:r>
        <w:rPr>
          <w:rFonts w:ascii="Calibri" w:cs="Calibri" w:eastAsia="Calibri" w:hAnsi="Calibri"/>
          <w:color w:val="1C1917"/>
          <w:sz w:val="22"/>
          <w:szCs w:val="22"/>
        </w:rPr>
        <w:t xml:space="preserve">Leverandøren kan ikke overdrage sine rettigheder og pligter efter kontrakten uden kundens skriftlige samtykke. Kunden kan overdrage kontrakten til et koncernselskab eller til en virksomhed, der overtager den aktivitet, kontrakten vedrører.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Samarbejde og eskalation</w:t>
      </w:r>
    </w:p>
    <w:p>
      <w:pPr>
        <w:spacing w:after="120" w:line="288" w:lineRule="auto"/>
      </w:pPr>
      <w:r>
        <w:rPr>
          <w:rFonts w:ascii="Calibri" w:cs="Calibri" w:eastAsia="Calibri" w:hAnsi="Calibri"/>
          <w:color w:val="1C1917"/>
          <w:sz w:val="22"/>
          <w:szCs w:val="22"/>
        </w:rPr>
        <w:t xml:space="preserve">Parterne udpeger hver en projektleder/kontraktansvarlig og mødes </w:t>
      </w:r>
      <w:r>
        <w:rPr>
          <w:rFonts w:ascii="Calibri" w:cs="Calibri" w:eastAsia="Calibri" w:hAnsi="Calibri"/>
          <w:color w:val="1C1917"/>
          <w:sz w:val="22"/>
          <w:szCs w:val="22"/>
          <w:shd w:fill="E8E6E1" w:color="auto" w:val="clear"/>
        </w:rPr>
        <w:t xml:space="preserve">[månedligt / kvartalsvis]</w:t>
      </w:r>
      <w:r>
        <w:rPr>
          <w:rFonts w:ascii="Calibri" w:cs="Calibri" w:eastAsia="Calibri" w:hAnsi="Calibri"/>
          <w:color w:val="1C1917"/>
          <w:sz w:val="22"/>
          <w:szCs w:val="22"/>
        </w:rPr>
        <w:t xml:space="preserve"> som beskrevet i bilag 6. Uenighed eskaleres først til projektlederne, derefter til </w:t>
      </w:r>
      <w:r>
        <w:rPr>
          <w:rFonts w:ascii="Calibri" w:cs="Calibri" w:eastAsia="Calibri" w:hAnsi="Calibri"/>
          <w:color w:val="1C1917"/>
          <w:sz w:val="22"/>
          <w:szCs w:val="22"/>
          <w:shd w:fill="E8E6E1" w:color="auto" w:val="clear"/>
        </w:rPr>
        <w:t xml:space="preserve">[Ledelsesniveau]</w:t>
      </w:r>
      <w:r>
        <w:rPr>
          <w:rFonts w:ascii="Calibri" w:cs="Calibri" w:eastAsia="Calibri" w:hAnsi="Calibri"/>
          <w:color w:val="1C1917"/>
          <w:sz w:val="22"/>
          <w:szCs w:val="22"/>
        </w:rPr>
        <w:t xml:space="preserve">, som skal forsøge at løse sagen inden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arbejdsdage.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Lovvalg og tvister</w:t>
      </w:r>
    </w:p>
    <w:p>
      <w:pPr>
        <w:spacing w:after="120" w:line="288" w:lineRule="auto"/>
      </w:pPr>
      <w:r>
        <w:rPr>
          <w:rFonts w:ascii="Calibri" w:cs="Calibri" w:eastAsia="Calibri" w:hAnsi="Calibri"/>
          <w:color w:val="1C1917"/>
          <w:sz w:val="22"/>
          <w:szCs w:val="22"/>
        </w:rPr>
        <w:t xml:space="preserve">Kontrakten er underlagt dansk ret. Kan en tvist ikke løses ved eskalation, kan hver part kræve mægling. Er tvisten ikke løst inden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afgøres den: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ved voldgift efter reglerne for Voldgiftsinstituttet. Voldgiftsretten har sæde i </w:t>
      </w:r>
      <w:r>
        <w:rPr>
          <w:rFonts w:ascii="Calibri" w:cs="Calibri" w:eastAsia="Calibri" w:hAnsi="Calibri"/>
          <w:color w:val="1C1917"/>
          <w:sz w:val="22"/>
          <w:szCs w:val="22"/>
          <w:shd w:fill="E8E6E1" w:color="auto" w:val="clear"/>
        </w:rPr>
        <w:t xml:space="preserve">[By]</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ved </w:t>
      </w:r>
      <w:r>
        <w:rPr>
          <w:rFonts w:ascii="Calibri" w:cs="Calibri" w:eastAsia="Calibri" w:hAnsi="Calibri"/>
          <w:color w:val="1C1917"/>
          <w:sz w:val="22"/>
          <w:szCs w:val="22"/>
          <w:shd w:fill="E8E6E1" w:color="auto" w:val="clear"/>
        </w:rPr>
        <w:t xml:space="preserve">[Retten i (by)]</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Hver part kan søge foreløbige retsmidler ved de almindelige domstole. Leverandøren må ikke standse eller begrænse ydelsen, mens en tvist verserer, medmindre kunden væsentligt har misligholdt sin betalingspligt.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Bilag</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07"/>
        <w:gridCol w:w="6803"/>
        <w:gridCol w:w="1361"/>
      </w:tblGrid>
      <w:tr>
        <w:trPr>
          <w:tblHeader/>
        </w:trPr>
        <w:tc>
          <w:tcPr>
            <w:tcW w:type="dxa" w:w="90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Nr.</w:t>
            </w:r>
          </w:p>
        </w:tc>
        <w:tc>
          <w:tcPr>
            <w:tcW w:type="dxa" w:w="680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Bilag</w:t>
            </w:r>
          </w:p>
        </w:tc>
        <w:tc>
          <w:tcPr>
            <w:tcW w:type="dxa" w:w="136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Modul</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1</w:t>
            </w:r>
          </w:p>
        </w:tc>
        <w:tc>
          <w:tcPr>
            <w:tcW w:type="dxa" w:w="680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Tidsplan</w:t>
            </w:r>
          </w:p>
        </w:tc>
        <w:tc>
          <w:tcPr>
            <w:tcW w:type="dxa" w:w="136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2</w:t>
            </w:r>
          </w:p>
        </w:tc>
        <w:tc>
          <w:tcPr>
            <w:tcW w:type="dxa" w:w="680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Kravspecifikation (krav og ønsker adskilt)</w:t>
            </w:r>
          </w:p>
        </w:tc>
        <w:tc>
          <w:tcPr>
            <w:tcW w:type="dxa" w:w="136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A/B</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3</w:t>
            </w:r>
          </w:p>
        </w:tc>
        <w:tc>
          <w:tcPr>
            <w:tcW w:type="dxa" w:w="680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Leverandørens løsningsbeskrivelse og underleverandører</w:t>
            </w:r>
          </w:p>
        </w:tc>
        <w:tc>
          <w:tcPr>
            <w:tcW w:type="dxa" w:w="136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A/B</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w:t>
            </w:r>
          </w:p>
        </w:tc>
        <w:tc>
          <w:tcPr>
            <w:tcW w:type="dxa" w:w="680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Priser og betalingsplan</w:t>
            </w:r>
          </w:p>
        </w:tc>
        <w:tc>
          <w:tcPr>
            <w:tcW w:type="dxa" w:w="136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A/B</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5</w:t>
            </w:r>
          </w:p>
        </w:tc>
        <w:tc>
          <w:tcPr>
            <w:tcW w:type="dxa" w:w="680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Servicemål, support og servicekreditter</w:t>
            </w:r>
          </w:p>
        </w:tc>
        <w:tc>
          <w:tcPr>
            <w:tcW w:type="dxa" w:w="136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6</w:t>
            </w:r>
          </w:p>
        </w:tc>
        <w:tc>
          <w:tcPr>
            <w:tcW w:type="dxa" w:w="680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Kundens medvirken og samarbejdsorganisation</w:t>
            </w:r>
          </w:p>
        </w:tc>
        <w:tc>
          <w:tcPr>
            <w:tcW w:type="dxa" w:w="136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A/B</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7</w:t>
            </w:r>
          </w:p>
        </w:tc>
        <w:tc>
          <w:tcPr>
            <w:tcW w:type="dxa" w:w="680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Prøver; licensvilkår for standard-, tredjeparts- og open source-programmel</w:t>
            </w:r>
          </w:p>
        </w:tc>
        <w:tc>
          <w:tcPr>
            <w:tcW w:type="dxa" w:w="136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A/B</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8</w:t>
            </w:r>
          </w:p>
        </w:tc>
        <w:tc>
          <w:tcPr>
            <w:tcW w:type="dxa" w:w="680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Databehandleraftale</w:t>
            </w:r>
          </w:p>
        </w:tc>
        <w:tc>
          <w:tcPr>
            <w:tcW w:type="dxa" w:w="136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A/B</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9</w:t>
            </w:r>
          </w:p>
        </w:tc>
        <w:tc>
          <w:tcPr>
            <w:tcW w:type="dxa" w:w="680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Informationssikkerhed</w:t>
            </w:r>
          </w:p>
        </w:tc>
        <w:tc>
          <w:tcPr>
            <w:tcW w:type="dxa" w:w="136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A/B</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10</w:t>
            </w:r>
          </w:p>
        </w:tc>
        <w:tc>
          <w:tcPr>
            <w:tcW w:type="dxa" w:w="680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Exitplan med udtømmende liste over data og format</w:t>
            </w:r>
          </w:p>
        </w:tc>
        <w:tc>
          <w:tcPr>
            <w:tcW w:type="dxa" w:w="136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11</w:t>
            </w:r>
          </w:p>
        </w:tc>
        <w:tc>
          <w:tcPr>
            <w:tcW w:type="dxa" w:w="680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Ændringsprocedure</w:t>
            </w:r>
          </w:p>
        </w:tc>
        <w:tc>
          <w:tcPr>
            <w:tcW w:type="dxa" w:w="136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A/B</w:t>
            </w:r>
          </w:p>
        </w:tc>
      </w:tr>
    </w:tbl>
    <w:p>
      <w:pPr>
        <w:spacing w:after="16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Underskrifter</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For Kunden</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For Leverandøren</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r>
    </w:tbl>
    <w:p>
      <w:pPr>
        <w:pageBreakBefore/>
      </w:pPr>
    </w:p>
    <w:p>
      <w:pPr>
        <w:keepNext/>
        <w:spacing w:after="80" w:before="220"/>
      </w:pPr>
      <w:r>
        <w:rPr>
          <w:rFonts w:ascii="Calibri" w:cs="Calibri" w:eastAsia="Calibri" w:hAnsi="Calibri"/>
          <w:b/>
          <w:bCs/>
          <w:color w:val="28394A"/>
          <w:sz w:val="22"/>
          <w:szCs w:val="22"/>
        </w:rPr>
        <w:t xml:space="preserve">Bilag 8 - Databehandleraftale</w:t>
      </w:r>
    </w:p>
    <w:p>
      <w:pPr>
        <w:spacing w:after="120" w:line="288" w:lineRule="auto"/>
      </w:pPr>
      <w:r>
        <w:rPr>
          <w:rFonts w:ascii="Calibri" w:cs="Calibri" w:eastAsia="Calibri" w:hAnsi="Calibri"/>
          <w:color w:val="1C1917"/>
          <w:sz w:val="22"/>
          <w:szCs w:val="22"/>
        </w:rPr>
        <w:t xml:space="preserve">Parterne indgår databehandleraftale på grundlag af </w:t>
      </w:r>
      <w:r>
        <w:rPr>
          <w:rFonts w:ascii="Calibri" w:cs="Calibri" w:eastAsia="Calibri" w:hAnsi="Calibri"/>
          <w:color w:val="1C1917"/>
          <w:sz w:val="22"/>
          <w:szCs w:val="22"/>
          <w:shd w:fill="E8E6E1" w:color="auto" w:val="clear"/>
        </w:rPr>
        <w:t xml:space="preserve">[Datatilsynets standardkontraktbestemmelser efter databeskyttelsesforordningens artikel 28, stk. 8 / EU-Kommissionens standardkontraktbestemmelser efter artikel 28, stk. 7 (gennemførelsesafgørelse (EU) 2021/915)]</w:t>
      </w:r>
      <w:r>
        <w:rPr>
          <w:rFonts w:ascii="Calibri" w:cs="Calibri" w:eastAsia="Calibri" w:hAnsi="Calibri"/>
          <w:color w:val="1C1917"/>
          <w:sz w:val="22"/>
          <w:szCs w:val="22"/>
        </w:rPr>
        <w:t xml:space="preserve">, som vedlægges i uændret form med udfyldte bilag om:</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behandlingens formål, art og varighed, typer af personoplysninger og kategorier af registrerede,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godkendte underdatabehandlere,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instruks om behandlingen, herunder sikkerhedsforanstaltninger og opbevaringssted, og</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tilsyn og revision.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Hent standardbestemmelserne hos Datatilsynet (datatilsynet.dk) eller i EU-Tidende. Ret kun i de felter og bilag, der er beregnet til udfyldning. Skriv instruksen, så leverandøren ikke kan bruge personoplysningerne til egne formål. Kun hvis leverandøren behandler personoplysninger på kundens vegne, er der behov for en databehandleraftale.</w:t>
      </w:r>
    </w:p>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vfzpicariospcwjyua7ra">
      <w:r>
        <w:rPr>
          <w:rFonts w:ascii="Calibri" w:cs="Calibri" w:eastAsia="Calibri" w:hAnsi="Calibri"/>
          <w:color w:val="1E4FA3"/>
          <w:sz w:val="15"/>
          <w:szCs w:val="15"/>
          <w:u w:val="single"/>
        </w:rPr>
        <w:t xml:space="preserve">lovguiden.dk/praksisoversigt/erhverv-og-kontrakter/it-kontrakt</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r0kqo2ykjcosfzmzkipwc">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ypdyi3-ohgirrdkjwvb24">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inq2dy1_7hupynjavdxwe" Type="http://schemas.openxmlformats.org/officeDocument/2006/relationships/hyperlink" Target="https://www.lovguiden.dk" TargetMode="External"/><Relationship Id="rIdy7tw-xueheqj3mia45dwb" Type="http://schemas.openxmlformats.org/officeDocument/2006/relationships/hyperlink" Target="https://www.lovguiden.dk/praksisoversigt/erhverv-og-kontrakter/it-kontrakt" TargetMode="External"/><Relationship Id="rIdnwnqeilvgh08c0qwpuntz" Type="http://schemas.openxmlformats.org/officeDocument/2006/relationships/hyperlink" Target="https://www.lovguiden.dk/praksisoversigt/erhverv-og-kontrakter/it-kontrakt"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vfzpicariospcwjyua7ra" Type="http://schemas.openxmlformats.org/officeDocument/2006/relationships/hyperlink" Target="https://www.lovguiden.dk/praksisoversigt/erhverv-og-kontrakter/it-kontrakt"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r0kqo2ykjcosfzmzkipwc"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ypdyi3-ohgirrdkjwvb24"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IT-kontrakt</dc:title>
  <dc:creator>Lovguiden</dc:creator>
  <cp:lastModifiedBy>Un-named</cp:lastModifiedBy>
  <cp:revision>1</cp:revision>
  <dcterms:created xsi:type="dcterms:W3CDTF">2026-10-27T14:06:19.883Z</dcterms:created>
  <dcterms:modified xsi:type="dcterms:W3CDTF">2026-10-27T14:06:19.883Z</dcterms:modified>
</cp:coreProperties>
</file>

<file path=docProps/custom.xml><?xml version="1.0" encoding="utf-8"?>
<Properties xmlns="http://schemas.openxmlformats.org/officeDocument/2006/custom-properties" xmlns:vt="http://schemas.openxmlformats.org/officeDocument/2006/docPropsVTypes"/>
</file>