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ERHVERVSKONTRAKTER</w:t>
      </w:r>
    </w:p>
    <w:p>
      <w:pPr>
        <w:spacing w:after="120" w:before="60" w:line="300" w:lineRule="auto"/>
      </w:pPr>
      <w:r>
        <w:rPr>
          <w:rFonts w:ascii="Calibri" w:cs="Calibri" w:eastAsia="Calibri" w:hAnsi="Calibri"/>
          <w:b/>
          <w:bCs/>
          <w:color w:val="28394A"/>
          <w:sz w:val="64"/>
          <w:szCs w:val="64"/>
        </w:rPr>
        <w:t xml:space="preserve">Kautionserklæring</w:t>
      </w:r>
    </w:p>
    <w:p>
      <w:pPr>
        <w:spacing w:after="200" w:line="288" w:lineRule="auto"/>
      </w:pPr>
      <w:r>
        <w:rPr>
          <w:rFonts w:ascii="Calibri" w:cs="Calibri" w:eastAsia="Calibri" w:hAnsi="Calibri"/>
          <w:color w:val="5F6B76"/>
          <w:sz w:val="26"/>
          <w:szCs w:val="26"/>
        </w:rPr>
        <w:t xml:space="preserve">for </w:t>
      </w:r>
      <w:r>
        <w:rPr>
          <w:rFonts w:ascii="Calibri" w:cs="Calibri" w:eastAsia="Calibri" w:hAnsi="Calibri"/>
          <w:color w:val="1C1917"/>
          <w:sz w:val="26"/>
          <w:szCs w:val="26"/>
          <w:shd w:fill="E8E6E1" w:color="auto" w:val="clear"/>
        </w:rPr>
        <w:t xml:space="preserve">[Hovedskyldner]</w:t>
      </w:r>
      <w:r>
        <w:rPr>
          <w:rFonts w:ascii="Calibri" w:cs="Calibri" w:eastAsia="Calibri" w:hAnsi="Calibri"/>
          <w:color w:val="5F6B76"/>
          <w:sz w:val="26"/>
          <w:szCs w:val="26"/>
        </w:rPr>
        <w:t xml:space="preserve"> over for </w:t>
      </w:r>
      <w:r>
        <w:rPr>
          <w:rFonts w:ascii="Calibri" w:cs="Calibri" w:eastAsia="Calibri" w:hAnsi="Calibri"/>
          <w:color w:val="1C1917"/>
          <w:sz w:val="26"/>
          <w:szCs w:val="26"/>
          <w:shd w:fill="E8E6E1" w:color="auto" w:val="clear"/>
        </w:rPr>
        <w:t xml:space="preserve">[Kreditor]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En kautionserklæring er et løfte om at betale en andens gæld, hvis skyldneren ikke selv gør det. Skabelonen er til kaution over for </w:t>
      </w:r>
      <w:r>
        <w:rPr>
          <w:rFonts w:ascii="Calibri" w:cs="Calibri" w:eastAsia="Calibri" w:hAnsi="Calibri"/>
          <w:b/>
          <w:bCs/>
          <w:color w:val="3F3A33"/>
          <w:sz w:val="23"/>
          <w:szCs w:val="23"/>
        </w:rPr>
        <w:t xml:space="preserve">private kreditorer og virksomheder uden for den finansielle sektor</w:t>
      </w:r>
      <w:r>
        <w:rPr>
          <w:rFonts w:ascii="Calibri" w:cs="Calibri" w:eastAsia="Calibri" w:hAnsi="Calibri"/>
          <w:color w:val="3F3A33"/>
          <w:sz w:val="23"/>
          <w:szCs w:val="23"/>
        </w:rPr>
        <w:t xml:space="preserve"> - fx et lån mellem privatpersoner, et ejerlån eller en leverandørkredit.</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m3ru47bsfmcclr11ggvzo">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mboxph-jdcaq_ltg5p2a0">
              <w:r>
                <w:rPr>
                  <w:rFonts w:ascii="Calibri" w:cs="Calibri" w:eastAsia="Calibri" w:hAnsi="Calibri"/>
                  <w:color w:val="1E4FA3"/>
                  <w:sz w:val="20"/>
                  <w:szCs w:val="20"/>
                  <w:u w:val="single"/>
                </w:rPr>
                <w:t xml:space="preserve">lovguiden.dk/praksisoversigt/erhverv-og-kontrakter/kautionserklaering</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Skal kautionen stilles over for et pengeinstitut eller et realkreditinstitut, bruges institutets egen erklæring.</w:t>
      </w:r>
      <w:r>
        <w:rPr>
          <w:rFonts w:ascii="Calibri" w:cs="Calibri" w:eastAsia="Calibri" w:hAnsi="Calibri"/>
          <w:color w:val="3F3A33"/>
          <w:sz w:val="19"/>
          <w:szCs w:val="19"/>
        </w:rPr>
        <w:t xml:space="preserve"> Lov om finansiel virksomhed § 48 stiller særlige krav til institutternes kautionserklæringer, oplysninger til kautionisten og løbende orientering. Denne skabelon kopierer frivilligt flere af de beskyttelsesregler, men erstatter dem ikke.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Kautionisten bør vide: Ved </w:t>
      </w:r>
      <w:r>
        <w:rPr>
          <w:rFonts w:ascii="Calibri" w:cs="Calibri" w:eastAsia="Calibri" w:hAnsi="Calibri"/>
          <w:b/>
          <w:bCs/>
          <w:color w:val="3F3A33"/>
          <w:sz w:val="19"/>
          <w:szCs w:val="19"/>
        </w:rPr>
        <w:t xml:space="preserve">selvskyldnerkaution</w:t>
      </w:r>
      <w:r>
        <w:rPr>
          <w:rFonts w:ascii="Calibri" w:cs="Calibri" w:eastAsia="Calibri" w:hAnsi="Calibri"/>
          <w:color w:val="3F3A33"/>
          <w:sz w:val="19"/>
          <w:szCs w:val="19"/>
        </w:rPr>
        <w:t xml:space="preserve"> kan kreditor kræve hele beløbet af kautionisten, så snart skyldneren ikke betaler til tiden. Ved </w:t>
      </w:r>
      <w:r>
        <w:rPr>
          <w:rFonts w:ascii="Calibri" w:cs="Calibri" w:eastAsia="Calibri" w:hAnsi="Calibri"/>
          <w:b/>
          <w:bCs/>
          <w:color w:val="3F3A33"/>
          <w:sz w:val="19"/>
          <w:szCs w:val="19"/>
        </w:rPr>
        <w:t xml:space="preserve">simpel kaution</w:t>
      </w:r>
      <w:r>
        <w:rPr>
          <w:rFonts w:ascii="Calibri" w:cs="Calibri" w:eastAsia="Calibri" w:hAnsi="Calibri"/>
          <w:color w:val="3F3A33"/>
          <w:sz w:val="19"/>
          <w:szCs w:val="19"/>
        </w:rPr>
        <w:t xml:space="preserve"> skal kreditor først forsøge at inddrive gælden hos skyldneren. Kautionen ophører ikke af sig selv ved skilsmisse, salg af en virksomhed eller fratræden som direktør - kun kreditors skriftlige frigivelse løser kautionisten.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Vil kreditor kunne gå direkte i fogedretten mod kautionisten, skal kautionisten underskrive selve gældsbrevet som selvskyldnerkautionist, og gældsbrevet skal have en fuldbyrdelsesklausul (retsplejeloven § 478, stk. 1, nr. 5, og stk. 4). En særskilt kautionserklæring kan ikke bruges som fuldbyrdelsesgrundlag, fordi loven kræver, at kautionisten har skrevet under på selve dokumentet (§ 478, stk. 4). Med kun en særskilt erklæring skal kreditor først have dom eller et betalingspåkrav. Brug i så fald kautionsafsnittet i skabelonen "Gældsbrev" og denne erklæring som supplement til de øvrige vilkår.</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kaution for "al nuværende og fremtidig gæld" uden maksimum; gammel gæld er omfattet uden at være nævnt; kreditor giver henstand eller frigiver anden sikkerhed uden kautionistens samtykke; kautionisten får ikke besked, når skyldneren holder op med at betale.</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finansiel virksomhed §§ 47 og 48 (kaution over for pengeinstitutter - til sammenligning og vejledning).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Gældsbrevsloven §§ 2 og 61 (solidarisk hæftelse og indbyrdes fordeling, også for samkautionister).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Retsplejeloven § 478, stk. 1, nr. 5, og stk. 4 (tvangsfuldbyrdelse mod selvskyldnerkautionist).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Forældelsesloven § 11 (kautionskravets forældelse følger hovedkravet).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Aftaleloven § 36 (urimelige vilkår) og retsplejeloven § 245, stk. 2 (værneting i forbrugeraftaler).</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2qs0r310uexpzjlfl3bcz">
        <w:r>
          <w:rPr>
            <w:rFonts w:ascii="Calibri" w:cs="Calibri" w:eastAsia="Calibri" w:hAnsi="Calibri"/>
            <w:color w:val="1E4FA3"/>
            <w:sz w:val="20"/>
            <w:szCs w:val="20"/>
            <w:u w:val="single"/>
          </w:rPr>
          <w:t xml:space="preserve">lovguiden.dk/praksisoversigt/erhverv-og-kontrakter/kautionserklaering</w:t>
        </w:r>
      </w:hyperlink>
    </w:p>
    <w:p>
      <w:pPr>
        <w:spacing w:after="80"/>
      </w:pPr>
      <w:r>
        <w:rPr>
          <w:rFonts w:ascii="Calibri" w:cs="Calibri" w:eastAsia="Calibri" w:hAnsi="Calibri"/>
          <w:b/>
          <w:bCs/>
          <w:color w:val="28394A"/>
          <w:sz w:val="44"/>
          <w:szCs w:val="44"/>
        </w:rPr>
        <w:t xml:space="preserve">Kautionserklæring</w:t>
      </w:r>
    </w:p>
    <w:p>
      <w:pPr>
        <w:spacing w:after="120" w:line="288" w:lineRule="auto"/>
      </w:pPr>
      <w:r>
        <w:rPr>
          <w:rFonts w:ascii="Calibri" w:cs="Calibri" w:eastAsia="Calibri" w:hAnsi="Calibri"/>
          <w:color w:val="5F6B76"/>
          <w:sz w:val="22"/>
          <w:szCs w:val="22"/>
        </w:rPr>
        <w:t xml:space="preserve">for </w:t>
      </w:r>
      <w:r>
        <w:rPr>
          <w:rFonts w:ascii="Calibri" w:cs="Calibri" w:eastAsia="Calibri" w:hAnsi="Calibri"/>
          <w:color w:val="1C1917"/>
          <w:sz w:val="22"/>
          <w:szCs w:val="22"/>
          <w:shd w:fill="E8E6E1" w:color="auto" w:val="clear"/>
        </w:rPr>
        <w:t xml:space="preserve">[Hovedskyldner]</w:t>
      </w:r>
      <w:r>
        <w:rPr>
          <w:rFonts w:ascii="Calibri" w:cs="Calibri" w:eastAsia="Calibri" w:hAnsi="Calibri"/>
          <w:color w:val="5F6B76"/>
          <w:sz w:val="22"/>
          <w:szCs w:val="22"/>
        </w:rPr>
        <w:t xml:space="preserve"> over for </w:t>
      </w:r>
      <w:r>
        <w:rPr>
          <w:rFonts w:ascii="Calibri" w:cs="Calibri" w:eastAsia="Calibri" w:hAnsi="Calibri"/>
          <w:color w:val="1C1917"/>
          <w:sz w:val="22"/>
          <w:szCs w:val="22"/>
          <w:shd w:fill="E8E6E1" w:color="auto" w:val="clear"/>
        </w:rPr>
        <w:t xml:space="preserve">[Kreditor]</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w:t>
      </w:r>
    </w:p>
    <w:p>
      <w:pPr>
        <w:keepNext/>
        <w:spacing w:after="80" w:before="220"/>
      </w:pPr>
      <w:r>
        <w:rPr>
          <w:rFonts w:ascii="Calibri" w:cs="Calibri" w:eastAsia="Calibri" w:hAnsi="Calibri"/>
          <w:b/>
          <w:bCs/>
          <w:color w:val="28394A"/>
          <w:sz w:val="22"/>
          <w:szCs w:val="22"/>
        </w:rPr>
        <w:t xml:space="preserve">Kautionist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CPR-nr.</w:t>
      </w:r>
      <w:r>
        <w:t xml:space="preserve">	</w:t>
      </w:r>
      <w:r>
        <w:rPr>
          <w:rFonts w:ascii="Calibri" w:cs="Calibri" w:eastAsia="Calibri" w:hAnsi="Calibri"/>
          <w:color w:val="1C1917"/>
          <w:sz w:val="22"/>
          <w:szCs w:val="22"/>
          <w:shd w:fill="E8E6E1" w:color="auto" w:val="clear"/>
        </w:rPr>
        <w:t xml:space="preserve">[CPR-nr.]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spacing w:after="80" w:before="220"/>
      </w:pPr>
      <w:r>
        <w:rPr>
          <w:rFonts w:ascii="Calibri" w:cs="Calibri" w:eastAsia="Calibri" w:hAnsi="Calibri"/>
          <w:b/>
          <w:bCs/>
          <w:color w:val="28394A"/>
          <w:sz w:val="22"/>
          <w:szCs w:val="22"/>
        </w:rPr>
        <w:t xml:space="preserve">Kreditor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 / virksomhedsnavn]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CPR-/CVR-nr.</w:t>
      </w:r>
      <w:r>
        <w:t xml:space="preserve">	</w:t>
      </w:r>
      <w:r>
        <w:rPr>
          <w:rFonts w:ascii="Calibri" w:cs="Calibri" w:eastAsia="Calibri" w:hAnsi="Calibri"/>
          <w:color w:val="1C1917"/>
          <w:sz w:val="22"/>
          <w:szCs w:val="22"/>
          <w:shd w:fill="E8E6E1" w:color="auto" w:val="clear"/>
        </w:rPr>
        <w:t xml:space="preserve">[CPR-/CVR-nr.]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spacing w:after="80" w:before="220"/>
      </w:pPr>
      <w:r>
        <w:rPr>
          <w:rFonts w:ascii="Calibri" w:cs="Calibri" w:eastAsia="Calibri" w:hAnsi="Calibri"/>
          <w:b/>
          <w:bCs/>
          <w:color w:val="28394A"/>
          <w:sz w:val="22"/>
          <w:szCs w:val="22"/>
        </w:rPr>
        <w:t xml:space="preserve">Hovedskyldner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 / virksomhedsnavn]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CPR-/CVR-nr.</w:t>
      </w:r>
      <w:r>
        <w:t xml:space="preserve">	</w:t>
      </w:r>
      <w:r>
        <w:rPr>
          <w:rFonts w:ascii="Calibri" w:cs="Calibri" w:eastAsia="Calibri" w:hAnsi="Calibri"/>
          <w:color w:val="1C1917"/>
          <w:sz w:val="22"/>
          <w:szCs w:val="22"/>
          <w:shd w:fill="E8E6E1" w:color="auto" w:val="clear"/>
        </w:rPr>
        <w:t xml:space="preserve">[CPR-/CVR-nr.]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Den gæld, kautionen dækker</w:t>
      </w:r>
    </w:p>
    <w:p>
      <w:pPr>
        <w:spacing w:after="120" w:line="288" w:lineRule="auto"/>
      </w:pPr>
      <w:r>
        <w:rPr>
          <w:rFonts w:ascii="Calibri" w:cs="Calibri" w:eastAsia="Calibri" w:hAnsi="Calibri"/>
          <w:color w:val="1C1917"/>
          <w:sz w:val="22"/>
          <w:szCs w:val="22"/>
        </w:rPr>
        <w:t xml:space="preserve">Kautionen dækker hovedskyldners forpligtelser over for kreditor efter: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Aftale/dokument</w:t>
      </w:r>
      <w:r>
        <w:t xml:space="preserve">	</w:t>
      </w:r>
      <w:r>
        <w:rPr>
          <w:rFonts w:ascii="Calibri" w:cs="Calibri" w:eastAsia="Calibri" w:hAnsi="Calibri"/>
          <w:color w:val="1C1917"/>
          <w:sz w:val="22"/>
          <w:szCs w:val="22"/>
          <w:shd w:fill="E8E6E1" w:color="auto" w:val="clear"/>
        </w:rPr>
        <w:t xml:space="preserve">[Fx gældsbrev, låneaftale eller kreditaftale]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Dateret</w:t>
      </w:r>
      <w:r>
        <w:t xml:space="preserve">	</w:t>
      </w:r>
      <w:r>
        <w:rPr>
          <w:rFonts w:ascii="Calibri" w:cs="Calibri" w:eastAsia="Calibri" w:hAnsi="Calibri"/>
          <w:color w:val="1C1917"/>
          <w:sz w:val="22"/>
          <w:szCs w:val="22"/>
          <w:shd w:fill="E8E6E1" w:color="auto" w:val="clear"/>
        </w:rPr>
        <w:t xml:space="preserve">[Dato]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Hovedstol</w:t>
      </w:r>
      <w:r>
        <w:t xml:space="preserve">	</w:t>
      </w:r>
      <w:r>
        <w:rPr>
          <w:rFonts w:ascii="Calibri" w:cs="Calibri" w:eastAsia="Calibri" w:hAnsi="Calibri"/>
          <w:color w:val="1C1917"/>
          <w:sz w:val="22"/>
          <w:szCs w:val="22"/>
        </w:rPr>
        <w:t xml:space="preserve">kr. </w:t>
      </w:r>
      <w:r>
        <w:rPr>
          <w:rFonts w:ascii="Calibri" w:cs="Calibri" w:eastAsia="Calibri" w:hAnsi="Calibri"/>
          <w:color w:val="1C1917"/>
          <w:sz w:val="22"/>
          <w:szCs w:val="22"/>
          <w:shd w:fill="E8E6E1" w:color="auto" w:val="clear"/>
        </w:rPr>
        <w:t xml:space="preserve">[Beløb]</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Rente</w:t>
      </w:r>
      <w:r>
        <w:t xml:space="preserve">	</w:t>
      </w:r>
      <w:r>
        <w:rPr>
          <w:rFonts w:ascii="Calibri" w:cs="Calibri" w:eastAsia="Calibri" w:hAnsi="Calibri"/>
          <w:color w:val="1C1917"/>
          <w:sz w:val="22"/>
          <w:szCs w:val="22"/>
          <w:shd w:fill="E8E6E1" w:color="auto" w:val="clear"/>
        </w:rPr>
        <w:t xml:space="preserve">[Fast/variabel, sats]</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Løbetid/afdrag</w:t>
      </w:r>
      <w:r>
        <w:t xml:space="preserve">	</w:t>
      </w:r>
      <w:r>
        <w:rPr>
          <w:rFonts w:ascii="Calibri" w:cs="Calibri" w:eastAsia="Calibri" w:hAnsi="Calibri"/>
          <w:color w:val="1C1917"/>
          <w:sz w:val="22"/>
          <w:szCs w:val="22"/>
          <w:shd w:fill="E8E6E1" w:color="auto" w:val="clear"/>
        </w:rPr>
        <w:t xml:space="preserve">[Fx afdrag kr. (Beløb) pr. måned til (Dato) / anfordring]</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Formål</w:t>
      </w:r>
      <w:r>
        <w:t xml:space="preserve">	</w:t>
      </w:r>
      <w:r>
        <w:rPr>
          <w:rFonts w:ascii="Calibri" w:cs="Calibri" w:eastAsia="Calibri" w:hAnsi="Calibri"/>
          <w:color w:val="1C1917"/>
          <w:sz w:val="22"/>
          <w:szCs w:val="22"/>
          <w:shd w:fill="E8E6E1" w:color="auto" w:val="clear"/>
        </w:rPr>
        <w:t xml:space="preserve">[Fx køb af bil, drift af virksomhed]</w:t>
      </w:r>
    </w:p>
    <w:p>
      <w:pPr>
        <w:spacing w:after="120" w:line="288" w:lineRule="auto"/>
      </w:pPr>
      <w:r>
        <w:rPr>
          <w:rFonts w:ascii="Calibri" w:cs="Calibri" w:eastAsia="Calibri" w:hAnsi="Calibri"/>
          <w:color w:val="1C1917"/>
          <w:sz w:val="22"/>
          <w:szCs w:val="22"/>
        </w:rPr>
        <w:t xml:space="preserve">Kautionen omfatter: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Kun den gæld, der stiftes efter ovennævnte aftale.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Også eksisterende gæld fra hovedskyldner til kreditor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pr.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som stammer fra </w:t>
      </w:r>
      <w:r>
        <w:rPr>
          <w:rFonts w:ascii="Calibri" w:cs="Calibri" w:eastAsia="Calibri" w:hAnsi="Calibri"/>
          <w:color w:val="1C1917"/>
          <w:sz w:val="22"/>
          <w:szCs w:val="22"/>
          <w:shd w:fill="E8E6E1" w:color="auto" w:val="clear"/>
        </w:rPr>
        <w:t xml:space="preserve">[Beskrivelse]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Gælden skal kunne identificeres præcist. Undgå formuleringer som "enhver nuværende og fremtidig gæld" (alskyldskaution) - de kan blive tilsidesat som urimelige, og kautionisten kan ikke overskue risikoen. Vedlæg en kopi af hovedaftalen.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Kautionstype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Selvskyldnerkaution: Kreditor kan kræve betaling hos kautionisten, så snart hovedskyldner ikke har betalt rettidigt efter skriftligt påkrav.</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Simpel kaution: Kreditor kan først kræve betaling hos kautionisten, når det er godtgjort, at beløbet ikke kan inddrives hos hovedskyldner, fx ved forgæves udlæg, konkurs eller gældssanering.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Står der intet, er kautionen som udgangspunkt simpel. Kreditorer forlanger næsten altid selvskyldnerkaution.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Maksimum</w:t>
      </w:r>
    </w:p>
    <w:p>
      <w:pPr>
        <w:spacing w:after="120" w:line="288" w:lineRule="auto"/>
      </w:pPr>
      <w:r>
        <w:rPr>
          <w:rFonts w:ascii="Calibri" w:cs="Calibri" w:eastAsia="Calibri" w:hAnsi="Calibri"/>
          <w:color w:val="1C1917"/>
          <w:sz w:val="22"/>
          <w:szCs w:val="22"/>
        </w:rPr>
        <w:t xml:space="preserve">Kautionen er begrænset til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(skrevet med bogstaver: </w:t>
      </w:r>
      <w:r>
        <w:rPr>
          <w:rFonts w:ascii="Calibri" w:cs="Calibri" w:eastAsia="Calibri" w:hAnsi="Calibri"/>
          <w:color w:val="1C1917"/>
          <w:sz w:val="22"/>
          <w:szCs w:val="22"/>
          <w:shd w:fill="E8E6E1" w:color="auto" w:val="clear"/>
        </w:rPr>
        <w:t xml:space="preserve">[Beløb med bogstaver]</w:t>
      </w:r>
      <w:r>
        <w:rPr>
          <w:rFonts w:ascii="Calibri" w:cs="Calibri" w:eastAsia="Calibri" w:hAnsi="Calibri"/>
          <w:color w:val="1C1917"/>
          <w:sz w:val="22"/>
          <w:szCs w:val="22"/>
        </w:rPr>
        <w:t xml:space="preserve"> kroner).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Beløbet er inklusive renter og omkostninger.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Ud over beløbet hæfter kautionisten for renter og omkostninger med højst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Et fast maksimum er den vigtigste beskyttelse for kautionisten. Vælg det første alternativ, hvis kautionisten skal kende sin samlede risiko.</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Varighed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Kautionen gælder, indtil hovedforpligtelsen er betalt fuldt ud, dog højst til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Kautionen gælder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år fra underskrift. Gæld, der er forfaldet, men ikke betalt ved udløbet, er fortsat omfattet, hvis kreditor har givet kautionisten skriftlig meddelelse om den inden udløbet.</w:t>
      </w:r>
    </w:p>
    <w:p>
      <w:pPr>
        <w:spacing w:after="120" w:line="288" w:lineRule="auto"/>
      </w:pPr>
      <w:r>
        <w:rPr>
          <w:rFonts w:ascii="Calibri" w:cs="Calibri" w:eastAsia="Calibri" w:hAnsi="Calibri"/>
          <w:color w:val="1C1917"/>
          <w:sz w:val="22"/>
          <w:szCs w:val="22"/>
        </w:rPr>
        <w:t xml:space="preserve">Dækker kautionen en kredit, der kan trækkes på løbende, kan kautionisten med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skriftligt varsel opsige kautionen for fremtidige træk. Kautionen gælder fortsat for den saldo, der er trukket på opsigelsestidspunktet.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Over for pengeinstitutter bortfalder en privat kaution efter 10 år - og efter 5 år ved kreditter med variabelt beløb eller lån uden fast forfaldstidspunkt (FIL § 48, stk. 9). Det er en god rettesnor også her.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Oplysninger til kautionisten</w:t>
      </w:r>
    </w:p>
    <w:p>
      <w:pPr>
        <w:spacing w:after="120" w:line="288" w:lineRule="auto"/>
      </w:pPr>
      <w:r>
        <w:rPr>
          <w:rFonts w:ascii="Calibri" w:cs="Calibri" w:eastAsia="Calibri" w:hAnsi="Calibri"/>
          <w:color w:val="1C1917"/>
          <w:sz w:val="22"/>
          <w:szCs w:val="22"/>
        </w:rPr>
        <w:t xml:space="preserve">Før underskrift har kautionisten modtaget: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Kopi af hovedaftalen (gældsbrev/låneaftale) og en eventuel afdragsplan.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Hovedskyldners seneste årsopgørelse og lønsedler for de seneste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 eller seneste årsregnskab, hvis hovedskyldner er en virksomhed.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Oplysning om anden sikkerhed for gælden: </w:t>
      </w:r>
      <w:r>
        <w:rPr>
          <w:rFonts w:ascii="Calibri" w:cs="Calibri" w:eastAsia="Calibri" w:hAnsi="Calibri"/>
          <w:color w:val="1C1917"/>
          <w:sz w:val="22"/>
          <w:szCs w:val="22"/>
          <w:shd w:fill="E8E6E1" w:color="auto" w:val="clear"/>
        </w:rPr>
        <w:t xml:space="preserve">[Beskrivelse / ingen]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[Andet]</w:t>
      </w:r>
    </w:p>
    <w:p>
      <w:pPr>
        <w:spacing w:after="120" w:line="288" w:lineRule="auto"/>
      </w:pPr>
      <w:r>
        <w:rPr>
          <w:rFonts w:ascii="Calibri" w:cs="Calibri" w:eastAsia="Calibri" w:hAnsi="Calibri"/>
          <w:color w:val="1C1917"/>
          <w:sz w:val="22"/>
          <w:szCs w:val="22"/>
        </w:rPr>
        <w:t xml:space="preserve">Kreditor forpligter sig til:</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en gang om året at give kautionisten skriftlig oplysning om restgælden,</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senest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efter, at hovedskyldner er kommet i restance, at give kautionisten skriftlig meddelelse,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at give kautionisten skriftlig meddelelse, hvis hovedskyldner får henstand eller forlænget løbetid.</w:t>
      </w:r>
    </w:p>
    <w:p>
      <w:pPr>
        <w:spacing w:after="120" w:line="288" w:lineRule="auto"/>
      </w:pPr>
      <w:r>
        <w:rPr>
          <w:rFonts w:ascii="Calibri" w:cs="Calibri" w:eastAsia="Calibri" w:hAnsi="Calibri"/>
          <w:color w:val="1C1917"/>
          <w:sz w:val="22"/>
          <w:szCs w:val="22"/>
        </w:rPr>
        <w:t xml:space="preserve">Giver kreditor ikke meddelelse om restance rettidigt, hæfter kautionisten ikke for renter og omkostninger, der er påløbet efter fristens udløb, og indtil meddelelsen er givet.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Hovedskyldners personlige oplysninger må kun gives til kautionisten med hovedskyldners samtykke (hovedskyldner skriver under nederst). Over for pengeinstitutter skal kautionisten have besked senest 3 måneder efter en manglende betaling eller en henstand uden kautionistens samtykke (FIL § 48, stk. 6) - brug gerne samme frist.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Ændringer i gælden</w:t>
      </w:r>
    </w:p>
    <w:p>
      <w:pPr>
        <w:spacing w:after="120" w:line="288" w:lineRule="auto"/>
      </w:pPr>
      <w:r>
        <w:rPr>
          <w:rFonts w:ascii="Calibri" w:cs="Calibri" w:eastAsia="Calibri" w:hAnsi="Calibri"/>
          <w:color w:val="1C1917"/>
          <w:sz w:val="22"/>
          <w:szCs w:val="22"/>
        </w:rPr>
        <w:t xml:space="preserve">Kautionisten er kun bundet af en forhøjelse af gælden, en forlængelse af løbetiden, en henstand eller en frigivelse af anden sikkerhed, hvis kautionisten har givet skriftligt samtykke.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Flere kautionister (valgfrit)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Kautionisterne hæfter solidarisk over for kreditor. Indbyrdes hæfter de med lige store dele.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Kautionisterne hæfter hver for sig med følgende andele: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[Procent]</w:t>
      </w:r>
      <w:r>
        <w:rPr>
          <w:rFonts w:ascii="Calibri" w:cs="Calibri" w:eastAsia="Calibri" w:hAnsi="Calibri"/>
          <w:color w:val="1C1917"/>
          <w:sz w:val="22"/>
          <w:szCs w:val="22"/>
        </w:rPr>
        <w:t xml:space="preserve"> %,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[Procent]</w:t>
      </w:r>
      <w:r>
        <w:rPr>
          <w:rFonts w:ascii="Calibri" w:cs="Calibri" w:eastAsia="Calibri" w:hAnsi="Calibri"/>
          <w:color w:val="1C1917"/>
          <w:sz w:val="22"/>
          <w:szCs w:val="22"/>
        </w:rPr>
        <w:t xml:space="preserve"> %.</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Står der intet, hæfter flere kautionister solidarisk: kreditor kan kræve hele beløbet af én af dem, som så kan kræve de andres andel (gældsbrevsloven §§ 2 og 61).</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Regres</w:t>
      </w:r>
    </w:p>
    <w:p>
      <w:pPr>
        <w:spacing w:after="120" w:line="288" w:lineRule="auto"/>
      </w:pPr>
      <w:r>
        <w:rPr>
          <w:rFonts w:ascii="Calibri" w:cs="Calibri" w:eastAsia="Calibri" w:hAnsi="Calibri"/>
          <w:color w:val="1C1917"/>
          <w:sz w:val="22"/>
          <w:szCs w:val="22"/>
        </w:rPr>
        <w:t xml:space="preserve">Betaler kautionisten på hovedskyldners vegne, overtager kautionisten kreditors krav mod hovedskyldner i samme omfang, herunder eventuel sikkerhed for kravet. Kreditor skal på anmodning give kautionisten de dokumenter, der er nødvendige for at gøre kravet gældende.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Bekræftelse</w:t>
      </w:r>
    </w:p>
    <w:p>
      <w:pPr>
        <w:spacing w:after="120" w:line="288" w:lineRule="auto"/>
      </w:pPr>
      <w:r>
        <w:rPr>
          <w:rFonts w:ascii="Calibri" w:cs="Calibri" w:eastAsia="Calibri" w:hAnsi="Calibri"/>
          <w:color w:val="1C1917"/>
          <w:sz w:val="22"/>
          <w:szCs w:val="22"/>
        </w:rPr>
        <w:t xml:space="preserve">Kautionisten bekræfter at have modtaget en kopi af denne erklæring og af hovedaftalen, at have forstået kautionens indhold og risiko og at have haft lejlighed til at søge uafhængig rådgivning før underskrift.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Lovvalg og tvister</w:t>
      </w:r>
    </w:p>
    <w:p>
      <w:pPr>
        <w:spacing w:after="120" w:line="288" w:lineRule="auto"/>
      </w:pPr>
      <w:r>
        <w:rPr>
          <w:rFonts w:ascii="Calibri" w:cs="Calibri" w:eastAsia="Calibri" w:hAnsi="Calibri"/>
          <w:color w:val="1C1917"/>
          <w:sz w:val="22"/>
          <w:szCs w:val="22"/>
        </w:rPr>
        <w:t xml:space="preserve">Erklæringen er underlagt dansk ret. Tvister afgøres ved </w:t>
      </w:r>
      <w:r>
        <w:rPr>
          <w:rFonts w:ascii="Calibri" w:cs="Calibri" w:eastAsia="Calibri" w:hAnsi="Calibri"/>
          <w:color w:val="1C1917"/>
          <w:sz w:val="22"/>
          <w:szCs w:val="22"/>
          <w:shd w:fill="E8E6E1" w:color="auto" w:val="clear"/>
        </w:rPr>
        <w:t xml:space="preserve">[Retten i (by) / kautionistens hjemting]</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 kreditor erhvervsdrivende og kautionisten privatperson, er en værnetingsaftale indgået før tvisten ikke bindende for kautionisten (retsplejeloven § 245, stk. 2). Mellem to privatpersoner kan værneting aftales.</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Kautionist</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Kreditor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p>
      <w:pPr>
        <w:spacing w:after="100" w:before="360"/>
      </w:pPr>
      <w:r>
        <w:rPr>
          <w:rFonts w:ascii="Calibri" w:cs="Calibri" w:eastAsia="Calibri" w:hAnsi="Calibri"/>
          <w:b/>
          <w:bCs/>
          <w:color w:val="28394A"/>
          <w:spacing w:val="40"/>
          <w:sz w:val="17"/>
          <w:szCs w:val="17"/>
        </w:rPr>
        <w:t xml:space="preserve">VITTERLIGHEDSVIDNER</w:t>
      </w:r>
    </w:p>
    <w:p>
      <w:pPr>
        <w:spacing w:after="120" w:line="288" w:lineRule="auto"/>
      </w:pPr>
      <w:r>
        <w:rPr>
          <w:rFonts w:ascii="Calibri" w:cs="Calibri" w:eastAsia="Calibri" w:hAnsi="Calibri"/>
          <w:color w:val="1C1917"/>
          <w:sz w:val="20"/>
          <w:szCs w:val="20"/>
        </w:rPr>
        <w:t xml:space="preserve">Undertegnede vitterlighedsvidner bekræfter, at ovennævnte har underskrevet dokumentet i vores samtidige nærværelse.</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Vidne 1</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p>
            <w:pPr>
              <w:spacing w:after="40" w:line="288" w:lineRule="auto"/>
            </w:pPr>
            <w:r>
              <w:rPr>
                <w:rFonts w:ascii="Calibri" w:cs="Calibri" w:eastAsia="Calibri" w:hAnsi="Calibri"/>
                <w:color w:val="1C1917"/>
                <w:sz w:val="20"/>
                <w:szCs w:val="20"/>
              </w:rPr>
              <w:t xml:space="preserve">Adresse: </w:t>
            </w:r>
            <w:r>
              <w:rPr>
                <w:rFonts w:ascii="Calibri" w:cs="Calibri" w:eastAsia="Calibri" w:hAnsi="Calibri"/>
                <w:color w:val="1C1917"/>
                <w:sz w:val="20"/>
                <w:szCs w:val="20"/>
                <w:shd w:fill="E8E6E1" w:color="auto" w:val="clear"/>
              </w:rPr>
              <w:t xml:space="preserve">[Adresse]</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Vidne 2</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p>
            <w:pPr>
              <w:spacing w:after="40" w:line="288" w:lineRule="auto"/>
            </w:pPr>
            <w:r>
              <w:rPr>
                <w:rFonts w:ascii="Calibri" w:cs="Calibri" w:eastAsia="Calibri" w:hAnsi="Calibri"/>
                <w:color w:val="1C1917"/>
                <w:sz w:val="20"/>
                <w:szCs w:val="20"/>
              </w:rPr>
              <w:t xml:space="preserve">Adresse: </w:t>
            </w:r>
            <w:r>
              <w:rPr>
                <w:rFonts w:ascii="Calibri" w:cs="Calibri" w:eastAsia="Calibri" w:hAnsi="Calibri"/>
                <w:color w:val="1C1917"/>
                <w:sz w:val="20"/>
                <w:szCs w:val="20"/>
                <w:shd w:fill="E8E6E1" w:color="auto" w:val="clear"/>
              </w:rPr>
              <w:t xml:space="preserve">[Adresse]</w:t>
            </w:r>
          </w:p>
        </w:tc>
      </w:tr>
    </w:tbl>
    <w:p>
      <w:pPr>
        <w:spacing w:after="120" w:line="288" w:lineRule="auto"/>
      </w:pPr>
      <w:r>
        <w:rPr>
          <w:rFonts w:ascii="Calibri" w:cs="Calibri" w:eastAsia="Calibri" w:hAnsi="Calibri"/>
          <w:color w:val="1C1917"/>
          <w:sz w:val="22"/>
          <w:szCs w:val="22"/>
        </w:rPr>
        <w:t xml:space="preserve">Hovedskyldner er bekendt med kautionen og samtykker i, at de oplysninger, der er nævnt i afsnit 6, gives til kautionisten.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Hovedskyldner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ul-mqhg-r6qimiikv6rwi">
      <w:r>
        <w:rPr>
          <w:rFonts w:ascii="Calibri" w:cs="Calibri" w:eastAsia="Calibri" w:hAnsi="Calibri"/>
          <w:color w:val="1E4FA3"/>
          <w:sz w:val="15"/>
          <w:szCs w:val="15"/>
          <w:u w:val="single"/>
        </w:rPr>
        <w:t xml:space="preserve">lovguiden.dk/praksisoversigt/erhverv-og-kontrakter/kautionserklaering</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9ktlol0pnekrgls1jmb7u">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exsov7zxrnxbac9ktu_vg">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m3ru47bsfmcclr11ggvzo" Type="http://schemas.openxmlformats.org/officeDocument/2006/relationships/hyperlink" Target="https://www.lovguiden.dk" TargetMode="External"/><Relationship Id="rIdmboxph-jdcaq_ltg5p2a0" Type="http://schemas.openxmlformats.org/officeDocument/2006/relationships/hyperlink" Target="https://www.lovguiden.dk/praksisoversigt/erhverv-og-kontrakter/kautionserklaering" TargetMode="External"/><Relationship Id="rId2qs0r310uexpzjlfl3bcz" Type="http://schemas.openxmlformats.org/officeDocument/2006/relationships/hyperlink" Target="https://www.lovguiden.dk/praksisoversigt/erhverv-og-kontrakter/kautionserklaering"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ul-mqhg-r6qimiikv6rwi" Type="http://schemas.openxmlformats.org/officeDocument/2006/relationships/hyperlink" Target="https://www.lovguiden.dk/praksisoversigt/erhverv-og-kontrakter/kautionserklaering"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9ktlol0pnekrgls1jmb7u"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exsov7zxrnxbac9ktu_vg"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Kautionserklæring</dc:title>
  <dc:creator>Lovguiden</dc:creator>
  <cp:lastModifiedBy>Un-named</cp:lastModifiedBy>
  <cp:revision>1</cp:revision>
  <dcterms:created xsi:type="dcterms:W3CDTF">2026-10-27T14:13:31.065Z</dcterms:created>
  <dcterms:modified xsi:type="dcterms:W3CDTF">2026-10-27T14:13:31.065Z</dcterms:modified>
</cp:coreProperties>
</file>

<file path=docProps/custom.xml><?xml version="1.0" encoding="utf-8"?>
<Properties xmlns="http://schemas.openxmlformats.org/officeDocument/2006/custom-properties" xmlns:vt="http://schemas.openxmlformats.org/officeDocument/2006/docPropsVTypes"/>
</file>