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BOLIG- &amp; EJENDOMSDOKUMENTER</w:t>
      </w:r>
    </w:p>
    <w:p>
      <w:pPr>
        <w:spacing w:after="120" w:before="60" w:line="300" w:lineRule="auto"/>
      </w:pPr>
      <w:r>
        <w:rPr>
          <w:rFonts w:ascii="Calibri" w:cs="Calibri" w:eastAsia="Calibri" w:hAnsi="Calibri"/>
          <w:b/>
          <w:bCs/>
          <w:color w:val="28394A"/>
          <w:sz w:val="64"/>
          <w:szCs w:val="64"/>
        </w:rPr>
        <w:t xml:space="preserve">Købsaftale - fast ejendom</w:t>
      </w:r>
    </w:p>
    <w:p>
      <w:pPr>
        <w:spacing w:after="200" w:line="288" w:lineRule="auto"/>
      </w:pPr>
      <w:r>
        <w:rPr>
          <w:rFonts w:ascii="Calibri" w:cs="Calibri" w:eastAsia="Calibri" w:hAnsi="Calibri"/>
          <w:color w:val="5F6B76"/>
          <w:sz w:val="26"/>
          <w:szCs w:val="26"/>
        </w:rPr>
        <w:t xml:space="preserve">Handel uden ejendomsmægler mellem </w:t>
      </w:r>
      <w:r>
        <w:rPr>
          <w:rFonts w:ascii="Calibri" w:cs="Calibri" w:eastAsia="Calibri" w:hAnsi="Calibri"/>
          <w:color w:val="1C1917"/>
          <w:sz w:val="26"/>
          <w:szCs w:val="26"/>
          <w:shd w:fill="E8E6E1" w:color="auto" w:val="clear"/>
        </w:rPr>
        <w:t xml:space="preserve">[Sælger]</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[Køber]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til private handler med fast ejendom, hvor der </w:t>
      </w:r>
      <w:r>
        <w:rPr>
          <w:rFonts w:ascii="Calibri" w:cs="Calibri" w:eastAsia="Calibri" w:hAnsi="Calibri"/>
          <w:b/>
          <w:bCs/>
          <w:color w:val="3F3A33"/>
          <w:sz w:val="23"/>
          <w:szCs w:val="23"/>
        </w:rPr>
        <w:t xml:space="preserve">ikke</w:t>
      </w:r>
      <w:r>
        <w:rPr>
          <w:rFonts w:ascii="Calibri" w:cs="Calibri" w:eastAsia="Calibri" w:hAnsi="Calibri"/>
          <w:color w:val="3F3A33"/>
          <w:sz w:val="23"/>
          <w:szCs w:val="23"/>
        </w:rPr>
        <w:t xml:space="preserve"> medvirker en ejendomsmægler - fx salg mellem familiemedlemmer eller naboer. Medvirker en ejendomsmægler, udarbejder mægleren udkastet til købsaftalen (formidlingsloven § 46). Skabelonen kan også bruges som tjekliste af købers rådgiver.</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onqg6xabpq66z4qje3fpi">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gl212tbntepi43qcjja70">
              <w:r>
                <w:rPr>
                  <w:rFonts w:ascii="Calibri" w:cs="Calibri" w:eastAsia="Calibri" w:hAnsi="Calibri"/>
                  <w:color w:val="1E4FA3"/>
                  <w:sz w:val="20"/>
                  <w:szCs w:val="20"/>
                  <w:u w:val="single"/>
                </w:rPr>
                <w:t xml:space="preserve">lovguiden.dk/praksisoversigt/fast-ejendom-og-bolig/koebsaftale-fast-ejendom</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Køber bør have sin egen rådgiver</w:t>
      </w:r>
      <w:r>
        <w:rPr>
          <w:rFonts w:ascii="Calibri" w:cs="Calibri" w:eastAsia="Calibri" w:hAnsi="Calibri"/>
          <w:color w:val="3F3A33"/>
          <w:sz w:val="19"/>
          <w:szCs w:val="19"/>
        </w:rPr>
        <w:t xml:space="preserve">, og ingen af parterne bør skrive under, før de har modtaget og læst tingbogsattest, BBR-meddelelse, energimærke og - hvis huseftersynsordningen bruges - tilstandsrapport, elinstallationsrapport og tilbud på ejerskifteforsikring.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Huseftersyn:</w:t>
      </w:r>
      <w:r>
        <w:rPr>
          <w:rFonts w:ascii="Calibri" w:cs="Calibri" w:eastAsia="Calibri" w:hAnsi="Calibri"/>
          <w:color w:val="3F3A33"/>
          <w:sz w:val="19"/>
          <w:szCs w:val="19"/>
        </w:rPr>
        <w:t xml:space="preserve"> Sælger slipper kun for ansvar for bygningernes fysiske tilstand, hvis køber har fået tilstandsrapport, elinstallationsrapport og tilbud på ejerskifteforsikring </w:t>
      </w:r>
      <w:r>
        <w:rPr>
          <w:rFonts w:ascii="Calibri" w:cs="Calibri" w:eastAsia="Calibri" w:hAnsi="Calibri"/>
          <w:b/>
          <w:bCs/>
          <w:color w:val="3F3A33"/>
          <w:sz w:val="19"/>
          <w:szCs w:val="19"/>
        </w:rPr>
        <w:t xml:space="preserve">før</w:t>
      </w:r>
      <w:r>
        <w:rPr>
          <w:rFonts w:ascii="Calibri" w:cs="Calibri" w:eastAsia="Calibri" w:hAnsi="Calibri"/>
          <w:color w:val="3F3A33"/>
          <w:sz w:val="19"/>
          <w:szCs w:val="19"/>
        </w:rPr>
        <w:t xml:space="preserve"> køber afgiver det tilbud, sælger accepterer. På samme tidspunkt skal sælger have givet et skriftligt og bindende tilsagn om at betale mindst halvdelen af præmien og have sikret sig, at køber kender retsvirkningerne (forbrugerbeskyttelsesloven § 2, stk. 2-4). Mangler blot ét krav, hæfter sælger efter de almindelige regler.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Huseftersynsordningen er under ændring (lovforslag om autorisation af huseftersynsvirksomheder, folketingsåret 2025-26). Kontrollér de gældende regler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Fortrydelsesret:</w:t>
      </w:r>
      <w:r>
        <w:rPr>
          <w:rFonts w:ascii="Calibri" w:cs="Calibri" w:eastAsia="Calibri" w:hAnsi="Calibri"/>
          <w:color w:val="3F3A33"/>
          <w:sz w:val="19"/>
          <w:szCs w:val="19"/>
        </w:rPr>
        <w:t xml:space="preserve"> Er ejendommen til beboelse, kan køber som udgangspunkt fortryde inden 6 hverdage mod at betale 1 % af købesummen til sælger (forbrugerbeskyttelsesloven §§ 6-13). Reglerne kan ikke fraviges til skade for køber (§ 21).</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rapporterne er for gamle eller udleveres for sent; tilsagnet om halv præmie eller bekræftelsen mangler; fortrydelsesret og rådgiverforbehold blandes sammen; der er ingen finansieringsforbehold; sælger tror, at en generel ansvarsfraskrivelse dækker forkerte oplysninger om fx areal.</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Forbrugerbeskyttelsesloven (lov om forbrugerbeskyttelse ved erhvervelse af fast ejendom m.v., LBK nr. 1123 af 22. september 2015), §§ 2-4 a, 6-13 og 19-21.</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Tinglysningsloven §§ 1 og 10 og tinglysningsafgiftsloven § 4 (tinglysning af skøde og afgift).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fremme af energibesparelser i bygninger (LBK nr. 1253 af 22. oktober 2025) § 6, stk. 1 (energimærke ved salg).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formidling af fast ejendom m.v. § 46 (mæglers udkast til købsaftale og finansieringsforbehold).</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Ægtefælleloven § 6 (samtykke til salg af familiens helårsbolig).</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db1oktmc3tjcojlshnnog">
        <w:r>
          <w:rPr>
            <w:rFonts w:ascii="Calibri" w:cs="Calibri" w:eastAsia="Calibri" w:hAnsi="Calibri"/>
            <w:color w:val="1E4FA3"/>
            <w:sz w:val="20"/>
            <w:szCs w:val="20"/>
            <w:u w:val="single"/>
          </w:rPr>
          <w:t xml:space="preserve">lovguiden.dk/praksisoversigt/fast-ejendom-og-bolig/koebsaftale-fast-ejendom</w:t>
        </w:r>
      </w:hyperlink>
    </w:p>
    <w:p>
      <w:pPr>
        <w:spacing w:after="80"/>
      </w:pPr>
      <w:r>
        <w:rPr>
          <w:rFonts w:ascii="Calibri" w:cs="Calibri" w:eastAsia="Calibri" w:hAnsi="Calibri"/>
          <w:b/>
          <w:bCs/>
          <w:color w:val="28394A"/>
          <w:sz w:val="44"/>
          <w:szCs w:val="44"/>
        </w:rPr>
        <w:t xml:space="preserve">Købsaftale - fast ejendom</w:t>
      </w:r>
    </w:p>
    <w:p>
      <w:pPr>
        <w:spacing w:after="120" w:line="288" w:lineRule="auto"/>
      </w:pPr>
      <w:r>
        <w:rPr>
          <w:rFonts w:ascii="Calibri" w:cs="Calibri" w:eastAsia="Calibri" w:hAnsi="Calibri"/>
          <w:color w:val="5F6B76"/>
          <w:sz w:val="22"/>
          <w:szCs w:val="22"/>
        </w:rPr>
        <w:t xml:space="preserve">Handel uden ejendomsmægler mellem </w:t>
      </w:r>
      <w:r>
        <w:rPr>
          <w:rFonts w:ascii="Calibri" w:cs="Calibri" w:eastAsia="Calibri" w:hAnsi="Calibri"/>
          <w:color w:val="1C1917"/>
          <w:sz w:val="22"/>
          <w:szCs w:val="22"/>
          <w:shd w:fill="E8E6E1" w:color="auto" w:val="clear"/>
        </w:rPr>
        <w:t xml:space="preserve">[Sælger]</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[Køber]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Sælger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Køber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Ejerandel</w:t>
      </w:r>
      <w:r>
        <w:t xml:space="preserve">	</w:t>
      </w:r>
      <w:r>
        <w:rPr>
          <w:rFonts w:ascii="Calibri" w:cs="Calibri" w:eastAsia="Calibri" w:hAnsi="Calibri"/>
          <w:color w:val="1C1917"/>
          <w:sz w:val="22"/>
          <w:szCs w:val="22"/>
          <w:shd w:fill="E8E6E1" w:color="auto" w:val="clear"/>
        </w:rPr>
        <w:t xml:space="preserve">[Fx 1/1 eller 1/2]</w:t>
      </w:r>
    </w:p>
    <w:p>
      <w:pPr>
        <w:spacing w:after="120" w:line="288" w:lineRule="auto"/>
      </w:pPr>
      <w:r>
        <w:rPr>
          <w:rFonts w:ascii="Calibri" w:cs="Calibri" w:eastAsia="Calibri" w:hAnsi="Calibri"/>
          <w:color w:val="1C1917"/>
          <w:sz w:val="22"/>
          <w:szCs w:val="22"/>
        </w:rPr>
        <w:t xml:space="preserve">Er der flere købere, hæfter de solidarisk over for sælger.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Køber to personer sammen, bør de også lave en samejeoverenskomst. Ejerandelene skal stemme med skødet.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Ejendommen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Matr.nr. og ejerlav</w:t>
      </w:r>
      <w:r>
        <w:t xml:space="preserve">	</w:t>
      </w:r>
      <w:r>
        <w:rPr>
          <w:rFonts w:ascii="Calibri" w:cs="Calibri" w:eastAsia="Calibri" w:hAnsi="Calibri"/>
          <w:color w:val="1C1917"/>
          <w:sz w:val="22"/>
          <w:szCs w:val="22"/>
          <w:shd w:fill="E8E6E1" w:color="auto" w:val="clear"/>
        </w:rPr>
        <w:t xml:space="preserve">[Matr.nr.]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[Ejerlav]</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BFE-nr.</w:t>
      </w:r>
      <w:r>
        <w:t xml:space="preserve">	</w:t>
      </w:r>
      <w:r>
        <w:rPr>
          <w:rFonts w:ascii="Calibri" w:cs="Calibri" w:eastAsia="Calibri" w:hAnsi="Calibri"/>
          <w:color w:val="1C1917"/>
          <w:sz w:val="22"/>
          <w:szCs w:val="22"/>
          <w:shd w:fill="E8E6E1" w:color="auto" w:val="clear"/>
        </w:rPr>
        <w:t xml:space="preserve">[BFE-nr.]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Grundareal</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m², heraf vej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m²</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Boligareal ifølge BBR</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m²</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Parcelhus/rækkehus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Ejerlejlighed - ejerforening: </w:t>
      </w:r>
      <w:r>
        <w:rPr>
          <w:rFonts w:ascii="Calibri" w:cs="Calibri" w:eastAsia="Calibri" w:hAnsi="Calibri"/>
          <w:color w:val="1C1917"/>
          <w:sz w:val="22"/>
          <w:szCs w:val="22"/>
          <w:shd w:fill="E8E6E1" w:color="auto" w:val="clear"/>
        </w:rPr>
        <w:t xml:space="preserve">[Navn]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Fritidshus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Ubebygget grund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Andet: </w:t>
      </w:r>
      <w:r>
        <w:rPr>
          <w:rFonts w:ascii="Calibri" w:cs="Calibri" w:eastAsia="Calibri" w:hAnsi="Calibri"/>
          <w:color w:val="1C1917"/>
          <w:sz w:val="22"/>
          <w:szCs w:val="22"/>
          <w:shd w:fill="E8E6E1" w:color="auto" w:val="clear"/>
        </w:rPr>
        <w:t xml:space="preserve">[Beskrivelse]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Kontrollér BBR-arealet mod virkeligheden. Er arealet forkert, og har sælger oplyst det, kan køber have krav på afslag, selvom aftalen indeholder en generel ansvarsfraskrivelse.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Tilbehør og løsøre</w:t>
      </w:r>
    </w:p>
    <w:p>
      <w:pPr>
        <w:spacing w:after="120" w:line="288" w:lineRule="auto"/>
      </w:pPr>
      <w:r>
        <w:rPr>
          <w:rFonts w:ascii="Calibri" w:cs="Calibri" w:eastAsia="Calibri" w:hAnsi="Calibri"/>
          <w:color w:val="1C1917"/>
          <w:sz w:val="22"/>
          <w:szCs w:val="22"/>
        </w:rPr>
        <w:t xml:space="preserve">Med i handlen er ejendommens tilbehør, herunder faste installationer, samt: </w:t>
      </w:r>
      <w:r>
        <w:rPr>
          <w:rFonts w:ascii="Calibri" w:cs="Calibri" w:eastAsia="Calibri" w:hAnsi="Calibri"/>
          <w:color w:val="1C1917"/>
          <w:sz w:val="22"/>
          <w:szCs w:val="22"/>
          <w:shd w:fill="E8E6E1" w:color="auto" w:val="clear"/>
        </w:rPr>
        <w:t xml:space="preserve">[Fx hvidevarer, gardiner, haveredskaber]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Ikke med i handlen er: </w:t>
      </w:r>
      <w:r>
        <w:rPr>
          <w:rFonts w:ascii="Calibri" w:cs="Calibri" w:eastAsia="Calibri" w:hAnsi="Calibri"/>
          <w:color w:val="1C1917"/>
          <w:sz w:val="22"/>
          <w:szCs w:val="22"/>
          <w:shd w:fill="E8E6E1" w:color="auto" w:val="clear"/>
        </w:rPr>
        <w:t xml:space="preserve">[Fx lamper, særlige møbler, drivhus]</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Værdien af løsøre, der indgår i handlen, er ansat til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og indgår i købesummen.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Købesum og betaling</w:t>
      </w:r>
    </w:p>
    <w:p>
      <w:pPr>
        <w:spacing w:after="120" w:line="288" w:lineRule="auto"/>
      </w:pPr>
      <w:r>
        <w:rPr>
          <w:rFonts w:ascii="Calibri" w:cs="Calibri" w:eastAsia="Calibri" w:hAnsi="Calibri"/>
          <w:color w:val="1C1917"/>
          <w:sz w:val="22"/>
          <w:szCs w:val="22"/>
        </w:rPr>
        <w:t xml:space="preserve">Købesummen er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der betales således: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Udbetaling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deponeres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på </w:t>
      </w:r>
      <w:r>
        <w:rPr>
          <w:rFonts w:ascii="Calibri" w:cs="Calibri" w:eastAsia="Calibri" w:hAnsi="Calibri"/>
          <w:color w:val="1C1917"/>
          <w:sz w:val="22"/>
          <w:szCs w:val="22"/>
          <w:shd w:fill="E8E6E1" w:color="auto" w:val="clear"/>
        </w:rPr>
        <w:t xml:space="preserve">[Deponeringssted, fx købers pengeinstitut eller advokats klientkonto]</w:t>
      </w:r>
      <w:r>
        <w:rPr>
          <w:rFonts w:ascii="Calibri" w:cs="Calibri" w:eastAsia="Calibri" w:hAnsi="Calibri"/>
          <w:color w:val="1C1917"/>
          <w:sz w:val="22"/>
          <w:szCs w:val="22"/>
        </w:rPr>
        <w:t xml:space="preserve"> og frigives til sælger, når skødet er tinglyst endeligt uden andre retsanmærkninger end dem, køber har accepteret. Renter af det deponerede beløb tilfalder </w:t>
      </w:r>
      <w:r>
        <w:rPr>
          <w:rFonts w:ascii="Calibri" w:cs="Calibri" w:eastAsia="Calibri" w:hAnsi="Calibri"/>
          <w:color w:val="1C1917"/>
          <w:sz w:val="22"/>
          <w:szCs w:val="22"/>
          <w:shd w:fill="E8E6E1" w:color="auto" w:val="clear"/>
        </w:rPr>
        <w:t xml:space="preserve">[køber / sælger]</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Resten af købesummen,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betales kontant på overtagelsesdagen. Køber stiller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bankgaranti for beløbet.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Køber overtager følgende lån: </w:t>
      </w:r>
      <w:r>
        <w:rPr>
          <w:rFonts w:ascii="Calibri" w:cs="Calibri" w:eastAsia="Calibri" w:hAnsi="Calibri"/>
          <w:color w:val="1C1917"/>
          <w:sz w:val="22"/>
          <w:szCs w:val="22"/>
          <w:shd w:fill="E8E6E1" w:color="auto" w:val="clear"/>
        </w:rPr>
        <w:t xml:space="preserve">[Långiver, lånenr., restgæld pr. (Dato)]</w:t>
      </w:r>
      <w:r>
        <w:rPr>
          <w:rFonts w:ascii="Calibri" w:cs="Calibri" w:eastAsia="Calibri" w:hAnsi="Calibri"/>
          <w:color w:val="1C1917"/>
          <w:sz w:val="22"/>
          <w:szCs w:val="22"/>
        </w:rPr>
        <w:t xml:space="preserve"> - eller "Ingen".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Lad aldrig udbetalingen gå direkte til sælger. Deponering og bankgaranti sikrer begge parter: køber får ikke ejendommen, før købesummen er sikret, og sælger slipper ikke pengene, før skødet er tinglyst. Overtagelse af lån kræver långivers godkendelse.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Overtagelse og risiko</w:t>
      </w:r>
    </w:p>
    <w:p>
      <w:pPr>
        <w:spacing w:after="120" w:line="288" w:lineRule="auto"/>
      </w:pPr>
      <w:r>
        <w:rPr>
          <w:rFonts w:ascii="Calibri" w:cs="Calibri" w:eastAsia="Calibri" w:hAnsi="Calibri"/>
          <w:color w:val="1C1917"/>
          <w:sz w:val="22"/>
          <w:szCs w:val="22"/>
        </w:rPr>
        <w:t xml:space="preserve">Ejendommen overtages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kl. </w:t>
      </w:r>
      <w:r>
        <w:rPr>
          <w:rFonts w:ascii="Calibri" w:cs="Calibri" w:eastAsia="Calibri" w:hAnsi="Calibri"/>
          <w:color w:val="1C1917"/>
          <w:sz w:val="22"/>
          <w:szCs w:val="22"/>
          <w:shd w:fill="E8E6E1" w:color="auto" w:val="clear"/>
        </w:rPr>
        <w:t xml:space="preserve">[Klokkeslæt]</w:t>
      </w:r>
      <w:r>
        <w:rPr>
          <w:rFonts w:ascii="Calibri" w:cs="Calibri" w:eastAsia="Calibri" w:hAnsi="Calibri"/>
          <w:color w:val="1C1917"/>
          <w:sz w:val="22"/>
          <w:szCs w:val="22"/>
        </w:rPr>
        <w:t xml:space="preserve">. Risikoen for ejendommen overgår til køber på overtagelsesdagen.</w:t>
      </w:r>
    </w:p>
    <w:p>
      <w:pPr>
        <w:spacing w:after="120" w:line="288" w:lineRule="auto"/>
      </w:pPr>
      <w:r>
        <w:rPr>
          <w:rFonts w:ascii="Calibri" w:cs="Calibri" w:eastAsia="Calibri" w:hAnsi="Calibri"/>
          <w:color w:val="1C1917"/>
          <w:sz w:val="22"/>
          <w:szCs w:val="22"/>
        </w:rPr>
        <w:t xml:space="preserve">Sælger holder ejendommen forsikret frem til overtagelsen og afleverer ejendommen ryddet og rengjort.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Refusion</w:t>
      </w:r>
    </w:p>
    <w:p>
      <w:pPr>
        <w:spacing w:after="120" w:line="288" w:lineRule="auto"/>
      </w:pPr>
      <w:r>
        <w:rPr>
          <w:rFonts w:ascii="Calibri" w:cs="Calibri" w:eastAsia="Calibri" w:hAnsi="Calibri"/>
          <w:color w:val="1C1917"/>
          <w:sz w:val="22"/>
          <w:szCs w:val="22"/>
        </w:rPr>
        <w:t xml:space="preserve">Overtagelsesdagen er skæringsdag. Indtægter og udgifter vedrørende ejendommen, herunder ejendomsskatter, forbrugsafgifter, forsikring og bidrag til ejer- eller grundejerforening, fordeles mellem parterne pr. skæringsdagen. Refusionsopgørelsen udarbejdes af </w:t>
      </w:r>
      <w:r>
        <w:rPr>
          <w:rFonts w:ascii="Calibri" w:cs="Calibri" w:eastAsia="Calibri" w:hAnsi="Calibri"/>
          <w:color w:val="1C1917"/>
          <w:sz w:val="22"/>
          <w:szCs w:val="22"/>
          <w:shd w:fill="E8E6E1" w:color="auto" w:val="clear"/>
        </w:rPr>
        <w:t xml:space="preserve">[Part eller rådgiver]</w:t>
      </w:r>
      <w:r>
        <w:rPr>
          <w:rFonts w:ascii="Calibri" w:cs="Calibri" w:eastAsia="Calibri" w:hAnsi="Calibri"/>
          <w:color w:val="1C1917"/>
          <w:sz w:val="22"/>
          <w:szCs w:val="22"/>
        </w:rPr>
        <w:t xml:space="preserve"> og afregnes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Målerne aflæses på overtagelsesdagen.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Servitutter, lokalplan og foreninger</w:t>
      </w:r>
    </w:p>
    <w:p>
      <w:pPr>
        <w:spacing w:after="120" w:line="288" w:lineRule="auto"/>
      </w:pPr>
      <w:r>
        <w:rPr>
          <w:rFonts w:ascii="Calibri" w:cs="Calibri" w:eastAsia="Calibri" w:hAnsi="Calibri"/>
          <w:color w:val="1C1917"/>
          <w:sz w:val="22"/>
          <w:szCs w:val="22"/>
        </w:rPr>
        <w:t xml:space="preserve">Ejendommen overdrages med de rettigheder og forpligtelser, der fremgår af tingbogen. Køber har modtaget tingbogsattest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accepterer de tinglyste servitutter og byrder.</w:t>
      </w:r>
    </w:p>
    <w:p>
      <w:pPr>
        <w:spacing w:after="120" w:line="288" w:lineRule="auto"/>
      </w:pPr>
      <w:r>
        <w:rPr>
          <w:rFonts w:ascii="Calibri" w:cs="Calibri" w:eastAsia="Calibri" w:hAnsi="Calibri"/>
          <w:color w:val="1C1917"/>
          <w:sz w:val="22"/>
          <w:szCs w:val="22"/>
        </w:rPr>
        <w:t xml:space="preserve">Ejendommen er omfattet af lokalplan nr.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 er ikke omfattet af lokalplan.</w:t>
      </w:r>
    </w:p>
    <w:p>
      <w:pPr>
        <w:spacing w:after="120" w:line="288" w:lineRule="auto"/>
      </w:pPr>
      <w:r>
        <w:rPr>
          <w:rFonts w:ascii="Calibri" w:cs="Calibri" w:eastAsia="Calibri" w:hAnsi="Calibri"/>
          <w:color w:val="1C1917"/>
          <w:sz w:val="22"/>
          <w:szCs w:val="22"/>
        </w:rPr>
        <w:t xml:space="preserve">Der er medlemspligt til følgende foreninger: </w:t>
      </w:r>
      <w:r>
        <w:rPr>
          <w:rFonts w:ascii="Calibri" w:cs="Calibri" w:eastAsia="Calibri" w:hAnsi="Calibri"/>
          <w:color w:val="1C1917"/>
          <w:sz w:val="22"/>
          <w:szCs w:val="22"/>
          <w:shd w:fill="E8E6E1" w:color="auto" w:val="clear"/>
        </w:rPr>
        <w:t xml:space="preserve">[Ejer-, grundejer- eller vejlaug med årligt bidrag]</w:t>
      </w:r>
      <w:r>
        <w:rPr>
          <w:rFonts w:ascii="Calibri" w:cs="Calibri" w:eastAsia="Calibri" w:hAnsi="Calibri"/>
          <w:color w:val="1C1917"/>
          <w:sz w:val="22"/>
          <w:szCs w:val="22"/>
        </w:rPr>
        <w:t xml:space="preserve">, og køber har modtaget </w:t>
      </w:r>
      <w:r>
        <w:rPr>
          <w:rFonts w:ascii="Calibri" w:cs="Calibri" w:eastAsia="Calibri" w:hAnsi="Calibri"/>
          <w:color w:val="1C1917"/>
          <w:sz w:val="22"/>
          <w:szCs w:val="22"/>
          <w:shd w:fill="E8E6E1" w:color="auto" w:val="clear"/>
        </w:rPr>
        <w:t xml:space="preserve">[vedtægter, seneste regnskab og budget]</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Huseftersyn og ejerskifteforsikring</w:t>
      </w:r>
    </w:p>
    <w:p>
      <w:pPr>
        <w:spacing w:after="120" w:line="288" w:lineRule="auto"/>
      </w:pPr>
      <w:r>
        <w:rPr>
          <w:rFonts w:ascii="Calibri" w:cs="Calibri" w:eastAsia="Calibri" w:hAnsi="Calibri"/>
          <w:color w:val="1C1917"/>
          <w:sz w:val="22"/>
          <w:szCs w:val="22"/>
        </w:rPr>
        <w:t xml:space="preserve">Køber har før underskrivelsen modtaget: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Tilstandsrapport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udarbejdet af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Elinstallationsrapport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udarbejdet af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Tilbud på ejerskifteforsikring fra </w:t>
      </w:r>
      <w:r>
        <w:rPr>
          <w:rFonts w:ascii="Calibri" w:cs="Calibri" w:eastAsia="Calibri" w:hAnsi="Calibri"/>
          <w:color w:val="1C1917"/>
          <w:sz w:val="22"/>
          <w:szCs w:val="22"/>
          <w:shd w:fill="E8E6E1" w:color="auto" w:val="clear"/>
        </w:rPr>
        <w:t xml:space="preserve">[Forsikringsselskab]</w:t>
      </w:r>
      <w:r>
        <w:rPr>
          <w:rFonts w:ascii="Calibri" w:cs="Calibri" w:eastAsia="Calibri" w:hAnsi="Calibri"/>
          <w:color w:val="1C1917"/>
          <w:sz w:val="22"/>
          <w:szCs w:val="22"/>
        </w:rPr>
        <w:t xml:space="preserv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Ejendommen er ikke omfattet af huseftersynsordningen, fordi </w:t>
      </w:r>
      <w:r>
        <w:rPr>
          <w:rFonts w:ascii="Calibri" w:cs="Calibri" w:eastAsia="Calibri" w:hAnsi="Calibri"/>
          <w:color w:val="1C1917"/>
          <w:sz w:val="22"/>
          <w:szCs w:val="22"/>
          <w:shd w:fill="E8E6E1" w:color="auto" w:val="clear"/>
        </w:rPr>
        <w:t xml:space="preserve">[Fx ubebygget grund]</w:t>
      </w:r>
      <w:r>
        <w:rPr>
          <w:rFonts w:ascii="Calibri" w:cs="Calibri" w:eastAsia="Calibri" w:hAnsi="Calibri"/>
          <w:color w:val="1C1917"/>
          <w:sz w:val="22"/>
          <w:szCs w:val="22"/>
        </w:rPr>
        <w:t xml:space="preserve">. Sælger hæfter efter de almindelige regler.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Tilstandsrapporten skal være udarbejdet mindre end 6 måneder og elinstallationsrapporten mindre end 1 år før den dag, køber modtager dem (forbrugerbeskyttelsesloven §§ 4 og 4 a). Køber kan selv vælge at tegne ejerskifteforsikringen hos et andet selskab.</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Rapporter, forsikringstilbud, sælgers tilsagn og orienteringen af køber skal være på plads, før køber skriver under på aftalen (§ 2, stk. 2-4). Skriv derfor tilsagnet og bekræftelsen nedenfor under først.</w:t>
      </w:r>
    </w:p>
    <w:p>
      <w:pPr>
        <w:keepNext/>
        <w:spacing w:after="80" w:before="220"/>
      </w:pPr>
      <w:r>
        <w:rPr>
          <w:rFonts w:ascii="Calibri" w:cs="Calibri" w:eastAsia="Calibri" w:hAnsi="Calibri"/>
          <w:b/>
          <w:bCs/>
          <w:color w:val="28394A"/>
          <w:sz w:val="22"/>
          <w:szCs w:val="22"/>
        </w:rPr>
        <w:t xml:space="preserve">Sælgers tilsagn om betaling af halvdelen af præmien</w:t>
      </w:r>
    </w:p>
    <w:p>
      <w:pPr>
        <w:spacing w:after="120" w:line="288" w:lineRule="auto"/>
      </w:pPr>
      <w:r>
        <w:rPr>
          <w:rFonts w:ascii="Calibri" w:cs="Calibri" w:eastAsia="Calibri" w:hAnsi="Calibri"/>
          <w:color w:val="1C1917"/>
          <w:sz w:val="22"/>
          <w:szCs w:val="22"/>
        </w:rPr>
        <w:t xml:space="preserve">Sælger forpligter sig til at betale køber halvdelen af den samlede præmie i det tilbud på ejerskifteforsikring, sælger har udleveret,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hvis køber tegner denne forsikring eller en anden ejerskifteforsikring, der opfylder lovens krav. Tilsagnet er bindende for sælger.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Sælger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spacing w:after="80" w:before="220"/>
      </w:pPr>
      <w:r>
        <w:rPr>
          <w:rFonts w:ascii="Calibri" w:cs="Calibri" w:eastAsia="Calibri" w:hAnsi="Calibri"/>
          <w:b/>
          <w:bCs/>
          <w:color w:val="28394A"/>
          <w:sz w:val="22"/>
          <w:szCs w:val="22"/>
        </w:rPr>
        <w:t xml:space="preserve">Købers bekræftelse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Loven kræver, at sælger har sikret sig, at køber kender retsvirkningerne (§ 2, stk. 4). Købers underskrift nedenfor er sælgers bevis for det.</w:t>
      </w:r>
    </w:p>
    <w:p>
      <w:pPr>
        <w:spacing w:after="120" w:line="288" w:lineRule="auto"/>
      </w:pPr>
      <w:r>
        <w:rPr>
          <w:rFonts w:ascii="Calibri" w:cs="Calibri" w:eastAsia="Calibri" w:hAnsi="Calibri"/>
          <w:color w:val="1C1917"/>
          <w:sz w:val="22"/>
          <w:szCs w:val="22"/>
        </w:rPr>
        <w:t xml:space="preserve">Køber bekræfter at have modtaget tilstandsrapport, elinstallationsrapport og tilbud på ejerskifteforsikring, og at være orienteret om, at sælger - når betingelserne i forbrugerbeskyttelsesloven § 2 er opfyldt - som udgangspunkt ikke hæfter for mangler ved bygningernes fysiske tilstand. Køber kan i stedet beskytte sig ved at tegne ejerskifteforsikring og har krav mod den bygningssagkyndige og elinstallatøren, hvis rapporterne er mangelfulde.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Køber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Sælgers oplysninger</w:t>
      </w:r>
    </w:p>
    <w:p>
      <w:pPr>
        <w:spacing w:after="120" w:line="288" w:lineRule="auto"/>
      </w:pPr>
      <w:r>
        <w:rPr>
          <w:rFonts w:ascii="Calibri" w:cs="Calibri" w:eastAsia="Calibri" w:hAnsi="Calibri"/>
          <w:color w:val="1C1917"/>
          <w:sz w:val="22"/>
          <w:szCs w:val="22"/>
        </w:rPr>
        <w:t xml:space="preserve">Sælger oplyser: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Kendte fejl og mangler</w:t>
      </w:r>
      <w:r>
        <w:t xml:space="preserve">	</w:t>
      </w:r>
      <w:r>
        <w:rPr>
          <w:rFonts w:ascii="Calibri" w:cs="Calibri" w:eastAsia="Calibri" w:hAnsi="Calibri"/>
          <w:color w:val="1C1917"/>
          <w:sz w:val="22"/>
          <w:szCs w:val="22"/>
          <w:shd w:fill="E8E6E1" w:color="auto" w:val="clear"/>
        </w:rPr>
        <w:t xml:space="preserve">[Beskrivelse, eller "Ingen kendte"]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Ulovlige forhold</w:t>
      </w:r>
      <w:r>
        <w:t xml:space="preserve">	</w:t>
      </w:r>
      <w:r>
        <w:rPr>
          <w:rFonts w:ascii="Calibri" w:cs="Calibri" w:eastAsia="Calibri" w:hAnsi="Calibri"/>
          <w:color w:val="1C1917"/>
          <w:sz w:val="22"/>
          <w:szCs w:val="22"/>
          <w:shd w:fill="E8E6E1" w:color="auto" w:val="clear"/>
        </w:rPr>
        <w:t xml:space="preserve">[Fx byggeri uden tilladelse, eller "Ingen kendte"]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Olietank</w:t>
      </w:r>
      <w:r>
        <w:t xml:space="preserve">	</w:t>
      </w:r>
      <w:r>
        <w:rPr>
          <w:rFonts w:ascii="Calibri" w:cs="Calibri" w:eastAsia="Calibri" w:hAnsi="Calibri"/>
          <w:color w:val="1C1917"/>
          <w:sz w:val="22"/>
          <w:szCs w:val="22"/>
          <w:shd w:fill="E8E6E1" w:color="auto" w:val="clear"/>
        </w:rPr>
        <w:t xml:space="preserve">[Ja - placering og status / Nej]</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Forurening</w:t>
      </w:r>
      <w:r>
        <w:t xml:space="preserve">	</w:t>
      </w:r>
      <w:r>
        <w:rPr>
          <w:rFonts w:ascii="Calibri" w:cs="Calibri" w:eastAsia="Calibri" w:hAnsi="Calibri"/>
          <w:color w:val="1C1917"/>
          <w:sz w:val="22"/>
          <w:szCs w:val="22"/>
          <w:shd w:fill="E8E6E1" w:color="auto" w:val="clear"/>
        </w:rPr>
        <w:t xml:space="preserve">[Fx kortlagt efter jordforureningsloven / Ikke kendt]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Verserende sager</w:t>
      </w:r>
      <w:r>
        <w:t xml:space="preserve">	</w:t>
      </w:r>
      <w:r>
        <w:rPr>
          <w:rFonts w:ascii="Calibri" w:cs="Calibri" w:eastAsia="Calibri" w:hAnsi="Calibri"/>
          <w:color w:val="1C1917"/>
          <w:sz w:val="22"/>
          <w:szCs w:val="22"/>
          <w:shd w:fill="E8E6E1" w:color="auto" w:val="clear"/>
        </w:rPr>
        <w:t xml:space="preserve">[Fx skader under forsikringsbehandling, naboretlige tvister / Ingen]</w:t>
      </w:r>
    </w:p>
    <w:p>
      <w:pPr>
        <w:spacing w:after="120" w:line="288" w:lineRule="auto"/>
      </w:pPr>
      <w:r>
        <w:rPr>
          <w:rFonts w:ascii="Calibri" w:cs="Calibri" w:eastAsia="Calibri" w:hAnsi="Calibri"/>
          <w:color w:val="1C1917"/>
          <w:sz w:val="22"/>
          <w:szCs w:val="22"/>
        </w:rPr>
        <w:t xml:space="preserve">Sælgers udfyldte oplysningsskema er vedlagt som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Huseftersynsordningen fritager ikke sælger ved svig, grov uagtsomhed eller garantier, og den dækker ikke fx servitutstridige forhold og stikledninger og kloakker (forbrugerbeskyttelsesloven § 2, stk. 5-6). Forkerte oplysninger om fx areal er heller ikke dækket. Oplys hellere for meget end for lidt.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Energimærke</w:t>
      </w:r>
    </w:p>
    <w:p>
      <w:pPr>
        <w:spacing w:after="120" w:line="288" w:lineRule="auto"/>
      </w:pPr>
      <w:r>
        <w:rPr>
          <w:rFonts w:ascii="Calibri" w:cs="Calibri" w:eastAsia="Calibri" w:hAnsi="Calibri"/>
          <w:color w:val="1C1917"/>
          <w:sz w:val="22"/>
          <w:szCs w:val="22"/>
        </w:rPr>
        <w:t xml:space="preserve">Køber har før underskrivelsen modtaget energimærke nr.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energiklasse </w:t>
      </w:r>
      <w:r>
        <w:rPr>
          <w:rFonts w:ascii="Calibri" w:cs="Calibri" w:eastAsia="Calibri" w:hAnsi="Calibri"/>
          <w:color w:val="1C1917"/>
          <w:sz w:val="22"/>
          <w:szCs w:val="22"/>
          <w:shd w:fill="E8E6E1" w:color="auto" w:val="clear"/>
        </w:rPr>
        <w:t xml:space="preserve">[Klasse]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Sælger skal sørge for, at køber har fået energimærket, inden aftalen indgås (lov om fremme af energibesparelser i bygninger § 6, stk. 1). Kontrollér, at mærket er gyldigt.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Forbehold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Handlen er betinget af, at købers rådgiver godkender handlen i sin helhed. Godkendelsen skal være kommet frem til sælger skriftligt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kl. </w:t>
      </w:r>
      <w:r>
        <w:rPr>
          <w:rFonts w:ascii="Calibri" w:cs="Calibri" w:eastAsia="Calibri" w:hAnsi="Calibri"/>
          <w:color w:val="1C1917"/>
          <w:sz w:val="22"/>
          <w:szCs w:val="22"/>
          <w:shd w:fill="E8E6E1" w:color="auto" w:val="clear"/>
        </w:rPr>
        <w:t xml:space="preserve">[Klokkeslæt]</w:t>
      </w:r>
      <w:r>
        <w:rPr>
          <w:rFonts w:ascii="Calibri" w:cs="Calibri" w:eastAsia="Calibri" w:hAnsi="Calibri"/>
          <w:color w:val="1C1917"/>
          <w:sz w:val="22"/>
          <w:szCs w:val="22"/>
        </w:rPr>
        <w:t xml:space="preserve">. Er godkendelsen ikke kommet frem inden fristen, er handlen bortfaldet, og ingen af parterne har krav mod den anden.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Handlen er betinget af, at købers pengeinstitut godkender finansieringen. Godkendelsen skal være kommet frem til sælger skriftligt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kl. </w:t>
      </w:r>
      <w:r>
        <w:rPr>
          <w:rFonts w:ascii="Calibri" w:cs="Calibri" w:eastAsia="Calibri" w:hAnsi="Calibri"/>
          <w:color w:val="1C1917"/>
          <w:sz w:val="22"/>
          <w:szCs w:val="22"/>
          <w:shd w:fill="E8E6E1" w:color="auto" w:val="clear"/>
        </w:rPr>
        <w:t xml:space="preserve">[Klokkeslæt]</w:t>
      </w:r>
      <w:r>
        <w:rPr>
          <w:rFonts w:ascii="Calibri" w:cs="Calibri" w:eastAsia="Calibri" w:hAnsi="Calibri"/>
          <w:color w:val="1C1917"/>
          <w:sz w:val="22"/>
          <w:szCs w:val="22"/>
        </w:rPr>
        <w:t xml:space="preserve">. Er godkendelsen ikke kommet frem inden fristen, er handlen bortfaldet, og ingen af parterne har krav mod den anden.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Andet forbehold: </w:t>
      </w:r>
      <w:r>
        <w:rPr>
          <w:rFonts w:ascii="Calibri" w:cs="Calibri" w:eastAsia="Calibri" w:hAnsi="Calibri"/>
          <w:color w:val="1C1917"/>
          <w:sz w:val="22"/>
          <w:szCs w:val="22"/>
          <w:shd w:fill="E8E6E1" w:color="auto" w:val="clear"/>
        </w:rPr>
        <w:t xml:space="preserve">[Beskrivelse og frist]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Et rådgiverforbehold har ingen hjemmel i loven og gælder kun, fordi det er aftalt. Det skal derfor have en klar frist og lyde på "godkendelse i sin helhed". En godkendelse med nye krav eller ændringer er ikke en godkendelse, men et nyt tilbud, som sælger kan afslå.</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Forbeholdenes frister løber uafhængigt af fortrydelsesfristen. Bortfalder handlen efter et forbehold, skal køber ikke betale godtgørelse.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Fortrydelsesret</w:t>
      </w:r>
    </w:p>
    <w:p>
      <w:pPr>
        <w:spacing w:after="120" w:line="288" w:lineRule="auto"/>
      </w:pPr>
      <w:r>
        <w:rPr>
          <w:rFonts w:ascii="Calibri" w:cs="Calibri" w:eastAsia="Calibri" w:hAnsi="Calibri"/>
          <w:color w:val="1C1917"/>
          <w:sz w:val="22"/>
          <w:szCs w:val="22"/>
        </w:rPr>
        <w:t xml:space="preserve">Køber kan fortryde handlen efter reglerne i forbrugerbeskyttelsesloven §§ 6-13. Fortrydelsesfristen er 6 hverdage regnet fra den dag, aftalen er indgået. Lørdage og grundlovsdag regnes ikke som hverdage. Fortrydelse skal ske ved skriftlig meddelelse, der skal være kommet frem til sælger inden fristens udløb. Meddelelsen sendes til: </w:t>
      </w:r>
      <w:r>
        <w:rPr>
          <w:rFonts w:ascii="Calibri" w:cs="Calibri" w:eastAsia="Calibri" w:hAnsi="Calibri"/>
          <w:color w:val="1C1917"/>
          <w:sz w:val="22"/>
          <w:szCs w:val="22"/>
          <w:shd w:fill="E8E6E1" w:color="auto" w:val="clear"/>
        </w:rPr>
        <w:t xml:space="preserve">[Sælgers adresse og e-mail]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Fortryder køber, skal køber inden fristens udløb betale en godtgørelse til sælger på 1 % af købesummen,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og sørge for, at et eventuelt tinglyst skøde aflyses, og at ejendommen tilbageleveres.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Fortrydelsesretten gælder køb af ejendom, der hovedsageligt skal være købers bolig. Den gælder ikke ved auktion, ejendomme med landbrugspligt og tidsdelt brugsret (§ 6). Har køber accepteret et tilbud fra sælger, løber fristen fra det tidspunkt, køber fik kendskab til tilbuddet (§ 8, stk. 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sælger erhvervsdrivende, skal køber have oplysning om fortrydelsesretten i et særskilt dokument, før fristen begynder at løbe (§ 19), og der skal ikke betales godtgørelse, hvis sælger har opført ejendommen med henblik på salg eller driver handel med fast ejendom som hovederhverv (§ 11, stk.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Skøde, tinglysning og udgifter</w:t>
      </w:r>
    </w:p>
    <w:p>
      <w:pPr>
        <w:spacing w:after="120" w:line="288" w:lineRule="auto"/>
      </w:pPr>
      <w:r>
        <w:rPr>
          <w:rFonts w:ascii="Calibri" w:cs="Calibri" w:eastAsia="Calibri" w:hAnsi="Calibri"/>
          <w:color w:val="1C1917"/>
          <w:sz w:val="22"/>
          <w:szCs w:val="22"/>
        </w:rPr>
        <w:t xml:space="preserve">Skødet udarbejdes og anmeldes digitalt til tinglysning af </w:t>
      </w:r>
      <w:r>
        <w:rPr>
          <w:rFonts w:ascii="Calibri" w:cs="Calibri" w:eastAsia="Calibri" w:hAnsi="Calibri"/>
          <w:color w:val="1C1917"/>
          <w:sz w:val="22"/>
          <w:szCs w:val="22"/>
          <w:shd w:fill="E8E6E1" w:color="auto" w:val="clear"/>
        </w:rPr>
        <w:t xml:space="preserve">[Part eller rådgiver]</w:t>
      </w:r>
      <w:r>
        <w:rPr>
          <w:rFonts w:ascii="Calibri" w:cs="Calibri" w:eastAsia="Calibri" w:hAnsi="Calibri"/>
          <w:color w:val="1C1917"/>
          <w:sz w:val="22"/>
          <w:szCs w:val="22"/>
        </w:rPr>
        <w:t xml:space="preserve">. Skødet tinglyses først som betinget skøde med forbehold for købesummens berigtigelse og derefter som endeligt skøde.</w:t>
      </w:r>
    </w:p>
    <w:p>
      <w:pPr>
        <w:spacing w:after="120" w:line="288" w:lineRule="auto"/>
      </w:pPr>
      <w:r>
        <w:rPr>
          <w:rFonts w:ascii="Calibri" w:cs="Calibri" w:eastAsia="Calibri" w:hAnsi="Calibri"/>
          <w:color w:val="1C1917"/>
          <w:sz w:val="22"/>
          <w:szCs w:val="22"/>
        </w:rPr>
        <w:t xml:space="preserve">Tinglysningsafgift af skødet efter gældende takster betales af </w:t>
      </w:r>
      <w:r>
        <w:rPr>
          <w:rFonts w:ascii="Calibri" w:cs="Calibri" w:eastAsia="Calibri" w:hAnsi="Calibri"/>
          <w:color w:val="1C1917"/>
          <w:sz w:val="22"/>
          <w:szCs w:val="22"/>
          <w:shd w:fill="E8E6E1" w:color="auto" w:val="clear"/>
        </w:rPr>
        <w:t xml:space="preserve">[køber]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Hver part betaler egne udgifter til rådgivning. Udgifter til tilstandsrapport, elinstallationsrapport og energimærke betales af </w:t>
      </w:r>
      <w:r>
        <w:rPr>
          <w:rFonts w:ascii="Calibri" w:cs="Calibri" w:eastAsia="Calibri" w:hAnsi="Calibri"/>
          <w:color w:val="1C1917"/>
          <w:sz w:val="22"/>
          <w:szCs w:val="22"/>
          <w:shd w:fill="E8E6E1" w:color="auto" w:val="clear"/>
        </w:rPr>
        <w:t xml:space="preserve">[sælger]</w:t>
      </w:r>
      <w:r>
        <w:rPr>
          <w:rFonts w:ascii="Calibri" w:cs="Calibri" w:eastAsia="Calibri" w:hAnsi="Calibri"/>
          <w:color w:val="1C1917"/>
          <w:sz w:val="22"/>
          <w:szCs w:val="22"/>
        </w:rPr>
        <w:t xml:space="preserve">. Udgifter til berigtigelse af handlen betales af </w:t>
      </w:r>
      <w:r>
        <w:rPr>
          <w:rFonts w:ascii="Calibri" w:cs="Calibri" w:eastAsia="Calibri" w:hAnsi="Calibri"/>
          <w:color w:val="1C1917"/>
          <w:sz w:val="22"/>
          <w:szCs w:val="22"/>
          <w:shd w:fill="E8E6E1" w:color="auto" w:val="clear"/>
        </w:rPr>
        <w:t xml:space="preserve">[Part, eller deles ligeligt]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Tinglysningsafgiften består af en fast del og en variabel del af købesummen. Satserne reguleres - se de gældende satser på tinglysning.dk eller skat.dk.</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Misligholdelse og tvister</w:t>
      </w:r>
    </w:p>
    <w:p>
      <w:pPr>
        <w:spacing w:after="120" w:line="288" w:lineRule="auto"/>
      </w:pPr>
      <w:r>
        <w:rPr>
          <w:rFonts w:ascii="Calibri" w:cs="Calibri" w:eastAsia="Calibri" w:hAnsi="Calibri"/>
          <w:color w:val="1C1917"/>
          <w:sz w:val="22"/>
          <w:szCs w:val="22"/>
        </w:rPr>
        <w:t xml:space="preserve">Misligholder en part aftalen, kan den anden part gøre de beføjelser gældende, der følger af dansk rets almindelige regler. Tvister afgøres ved retten i den retskreds, hvor ejendommen ligger.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008"/>
        <w:gridCol w:w="6047"/>
        <w:gridCol w:w="2016"/>
      </w:tblGrid>
      <w:tr>
        <w:trPr>
          <w:tblHeader/>
        </w:trPr>
        <w:tc>
          <w:tcPr>
            <w:tcW w:type="dxa" w:w="10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Bilag</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Dokument</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Tingbogsattest</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BBR-meddelelse</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Tilstandsrapport</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Elinstallationsrapport</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5</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Tilbud på ejerskifteforsikring</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6</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Energimærke</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7</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Sælgers oplysningsskema</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8</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Ejendomsskattebillet og forsyningsoplysninger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p>
      <w:pPr>
        <w:spacing w:after="120" w:line="288" w:lineRule="auto"/>
      </w:pPr>
      <w:r>
        <w:rPr>
          <w:rFonts w:ascii="Calibri" w:cs="Calibri" w:eastAsia="Calibri" w:hAnsi="Calibri"/>
          <w:color w:val="1C1917"/>
          <w:sz w:val="22"/>
          <w:szCs w:val="22"/>
        </w:rPr>
        <w:t xml:space="preserve">Aftalen er bindende, når den er underskrevet af både sælger og køber, med de forbehold og den fortrydelsesret, der fremgår ovenfor.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Sælger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Køber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der flere sælgere eller købere, skal alle skrive under. Er ejendommen familiens helårsbolig, skal en ægtefælle, der ikke står på skødet, give samtykke til salget - også efter samlivsophævelse (ægtefælleloven § 6). Uden samtykke kan handlen efter omstændighederne blive omstødt.</w:t>
      </w:r>
    </w:p>
    <w:p>
      <w:pPr>
        <w:keepNext/>
        <w:spacing w:after="80" w:before="220"/>
      </w:pPr>
      <w:r>
        <w:rPr>
          <w:rFonts w:ascii="Calibri" w:cs="Calibri" w:eastAsia="Calibri" w:hAnsi="Calibri"/>
          <w:b/>
          <w:bCs/>
          <w:color w:val="28394A"/>
          <w:sz w:val="22"/>
          <w:szCs w:val="22"/>
        </w:rPr>
        <w:t xml:space="preserve">Ægtefælles samtykke (hvis relevant)</w:t>
      </w:r>
    </w:p>
    <w:p>
      <w:pPr>
        <w:spacing w:after="120" w:line="288" w:lineRule="auto"/>
      </w:pPr>
      <w:r>
        <w:rPr>
          <w:rFonts w:ascii="Calibri" w:cs="Calibri" w:eastAsia="Calibri" w:hAnsi="Calibri"/>
          <w:color w:val="1C1917"/>
          <w:sz w:val="22"/>
          <w:szCs w:val="22"/>
        </w:rPr>
        <w:t xml:space="preserve">Som ægtefælle til sælger giver jeg samtykke til salget af ejendommen.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Sælgers ægtefælle</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x08n25ea1ou1atrtj7oza">
      <w:r>
        <w:rPr>
          <w:rFonts w:ascii="Calibri" w:cs="Calibri" w:eastAsia="Calibri" w:hAnsi="Calibri"/>
          <w:color w:val="1E4FA3"/>
          <w:sz w:val="15"/>
          <w:szCs w:val="15"/>
          <w:u w:val="single"/>
        </w:rPr>
        <w:t xml:space="preserve">lovguiden.dk/praksisoversigt/fast-ejendom-og-bolig/koebsaftale-fast-ejendom</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axnrrvveqc6p6t2sjanf0">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byp8pkciiu4nptuov7ifj">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onqg6xabpq66z4qje3fpi" Type="http://schemas.openxmlformats.org/officeDocument/2006/relationships/hyperlink" Target="https://www.lovguiden.dk" TargetMode="External"/><Relationship Id="rIdgl212tbntepi43qcjja70" Type="http://schemas.openxmlformats.org/officeDocument/2006/relationships/hyperlink" Target="https://www.lovguiden.dk/praksisoversigt/fast-ejendom-og-bolig/koebsaftale-fast-ejendom" TargetMode="External"/><Relationship Id="rIddb1oktmc3tjcojlshnnog" Type="http://schemas.openxmlformats.org/officeDocument/2006/relationships/hyperlink" Target="https://www.lovguiden.dk/praksisoversigt/fast-ejendom-og-bolig/koebsaftale-fast-ejendom"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x08n25ea1ou1atrtj7oza" Type="http://schemas.openxmlformats.org/officeDocument/2006/relationships/hyperlink" Target="https://www.lovguiden.dk/praksisoversigt/fast-ejendom-og-bolig/koebsaftale-fast-ejend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axnrrvveqc6p6t2sjanf0"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byp8pkciiu4nptuov7ifj"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Købsaftale - fast ejendom</dc:title>
  <dc:creator>Lovguiden</dc:creator>
  <cp:lastModifiedBy>Un-named</cp:lastModifiedBy>
  <cp:revision>1</cp:revision>
  <dcterms:created xsi:type="dcterms:W3CDTF">2026-10-27T14:06:20.396Z</dcterms:created>
  <dcterms:modified xsi:type="dcterms:W3CDTF">2026-10-27T14:06:20.396Z</dcterms:modified>
</cp:coreProperties>
</file>

<file path=docProps/custom.xml><?xml version="1.0" encoding="utf-8"?>
<Properties xmlns="http://schemas.openxmlformats.org/officeDocument/2006/custom-properties" xmlns:vt="http://schemas.openxmlformats.org/officeDocument/2006/docPropsVTypes"/>
</file>