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2190750" cy="600075"/>
            <wp:effectExtent t="0" r="0" b="0" l="0"/>
            <wp:docPr id="5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190750" cy="600075"/>
                    </a:xfrm>
                    <a:prstGeom prst="rect">
                      <a:avLst/>
                    </a:prstGeom>
                  </pic:spPr>
                </pic:pic>
              </a:graphicData>
            </a:graphic>
          </wp:inline>
        </w:drawing>
      </w:r>
    </w:p>
    <w:p>
      <w:pPr>
        <w:spacing w:after="160" w:before="2200"/>
      </w:pPr>
      <w:r>
        <w:rPr>
          <w:rFonts w:ascii="Calibri" w:cs="Calibri" w:eastAsia="Calibri" w:hAnsi="Calibri"/>
          <w:b/>
          <w:bCs/>
          <w:color w:val="9A7032"/>
          <w:spacing w:val="40"/>
          <w:sz w:val="17"/>
          <w:szCs w:val="17"/>
        </w:rPr>
        <w:t xml:space="preserve">SKABELON  ·  ANSÆTTELSESDOKUMENTER</w:t>
      </w:r>
    </w:p>
    <w:p>
      <w:pPr>
        <w:spacing w:after="120" w:before="60" w:line="300" w:lineRule="auto"/>
      </w:pPr>
      <w:r>
        <w:rPr>
          <w:rFonts w:ascii="Calibri" w:cs="Calibri" w:eastAsia="Calibri" w:hAnsi="Calibri"/>
          <w:b/>
          <w:bCs/>
          <w:color w:val="28394A"/>
          <w:sz w:val="64"/>
          <w:szCs w:val="64"/>
        </w:rPr>
        <w:t xml:space="preserve">Aftale om konkurrence- og kundeklausul</w:t>
      </w:r>
    </w:p>
    <w:p>
      <w:pPr>
        <w:spacing w:after="200" w:line="288" w:lineRule="auto"/>
      </w:pPr>
      <w:r>
        <w:rPr>
          <w:rFonts w:ascii="Calibri" w:cs="Calibri" w:eastAsia="Calibri" w:hAnsi="Calibri"/>
          <w:color w:val="5F6B76"/>
          <w:sz w:val="26"/>
          <w:szCs w:val="26"/>
        </w:rPr>
        <w:t xml:space="preserve">Bilag til ansættelseskontrakt af </w:t>
      </w:r>
      <w:r>
        <w:rPr>
          <w:rFonts w:ascii="Calibri" w:cs="Calibri" w:eastAsia="Calibri" w:hAnsi="Calibri"/>
          <w:color w:val="1C1917"/>
          <w:sz w:val="26"/>
          <w:szCs w:val="26"/>
          <w:shd w:fill="E8E6E1" w:color="auto" w:val="clear"/>
        </w:rPr>
        <w:t xml:space="preserve">[Dato]</w:t>
      </w:r>
      <w:r>
        <w:rPr>
          <w:rFonts w:ascii="Calibri" w:cs="Calibri" w:eastAsia="Calibri" w:hAnsi="Calibri"/>
          <w:color w:val="5F6B76"/>
          <w:sz w:val="26"/>
          <w:szCs w:val="26"/>
        </w:rPr>
        <w:t xml:space="preserve"> mellem </w:t>
      </w:r>
      <w:r>
        <w:rPr>
          <w:rFonts w:ascii="Calibri" w:cs="Calibri" w:eastAsia="Calibri" w:hAnsi="Calibri"/>
          <w:color w:val="1C1917"/>
          <w:sz w:val="26"/>
          <w:szCs w:val="26"/>
          <w:shd w:fill="E8E6E1" w:color="auto" w:val="clear"/>
        </w:rPr>
        <w:t xml:space="preserve">[Arbejdsgiver]</w:t>
      </w:r>
      <w:r>
        <w:rPr>
          <w:rFonts w:ascii="Calibri" w:cs="Calibri" w:eastAsia="Calibri" w:hAnsi="Calibri"/>
          <w:color w:val="5F6B76"/>
          <w:sz w:val="26"/>
          <w:szCs w:val="26"/>
        </w:rPr>
        <w:t xml:space="preserve"> og </w:t>
      </w:r>
      <w:r>
        <w:rPr>
          <w:rFonts w:ascii="Calibri" w:cs="Calibri" w:eastAsia="Calibri" w:hAnsi="Calibri"/>
          <w:color w:val="1C1917"/>
          <w:sz w:val="26"/>
          <w:szCs w:val="26"/>
          <w:shd w:fill="E8E6E1" w:color="auto" w:val="clear"/>
        </w:rPr>
        <w:t xml:space="preserve">[Medarbejder]</w:t>
      </w:r>
    </w:p>
    <w:p>
      <w:pPr>
        <w:pBdr>
          <w:bottom w:val="single" w:color="9A7032" w:sz="16"/>
        </w:pBdr>
        <w:spacing w:after="280"/>
        <w:ind w:right="7600"/>
      </w:pPr>
    </w:p>
    <w:p>
      <w:pPr>
        <w:spacing w:after="480" w:line="288" w:lineRule="auto"/>
      </w:pPr>
      <w:r>
        <w:rPr>
          <w:rFonts w:ascii="Calibri" w:cs="Calibri" w:eastAsia="Calibri" w:hAnsi="Calibri"/>
          <w:color w:val="3F3A33"/>
          <w:sz w:val="23"/>
          <w:szCs w:val="23"/>
        </w:rPr>
        <w:t xml:space="preserve">Skabelonen er et </w:t>
      </w:r>
      <w:r>
        <w:rPr>
          <w:rFonts w:ascii="Calibri" w:cs="Calibri" w:eastAsia="Calibri" w:hAnsi="Calibri"/>
          <w:b/>
          <w:bCs/>
          <w:color w:val="3F3A33"/>
          <w:sz w:val="23"/>
          <w:szCs w:val="23"/>
        </w:rPr>
        <w:t xml:space="preserve">selvstændigt bilag</w:t>
      </w:r>
      <w:r>
        <w:rPr>
          <w:rFonts w:ascii="Calibri" w:cs="Calibri" w:eastAsia="Calibri" w:hAnsi="Calibri"/>
          <w:color w:val="3F3A33"/>
          <w:sz w:val="23"/>
          <w:szCs w:val="23"/>
        </w:rPr>
        <w:t xml:space="preserve"> til ansættelseskontrakten for lønmodtagere. Ansættelsesklausulloven stiller krav om, at bestemte oplysninger gives skriftligt, og at der betales kompensation. Et særskilt bilag gør det let at dokumentere, at kravene er opfyldt.</w:t>
      </w:r>
    </w:p>
    <w:tbl>
      <w:tblPr>
        <w:tblW w:type="dxa" w:w="9070"/>
        <w:tblBorders>
          <w:top w:val="single" w:color="28394A" w:sz="8"/>
          <w:left w:val="none" w:color="FFFFFF" w:sz="0"/>
          <w:bottom w:val="single" w:color="D9DDE1" w:sz="4"/>
          <w:right w:val="none" w:color="FFFFFF" w:sz="0"/>
          <w:insideH w:val="single" w:color="D9DDE1" w:sz="4"/>
          <w:insideV w:val="none" w:color="FFFFFF" w:sz="0"/>
        </w:tblBorders>
      </w:tblPr>
      <w:tblGrid>
        <w:gridCol w:w="2400"/>
        <w:gridCol w:w="6670"/>
      </w:tblGrid>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Udgivet af</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Lovguiden  ·  </w:t>
            </w:r>
            <w:hyperlink w:history="1" r:id="rIda1py97vqljrszxwdhsp9y">
              <w:r>
                <w:rPr>
                  <w:rFonts w:ascii="Calibri" w:cs="Calibri" w:eastAsia="Calibri" w:hAnsi="Calibri"/>
                  <w:color w:val="1E4FA3"/>
                  <w:sz w:val="20"/>
                  <w:szCs w:val="20"/>
                  <w:u w:val="single"/>
                </w:rPr>
                <w:t xml:space="preserve">www.lovguiden.dk</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Tilhørende guide</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hyperlink w:history="1" r:id="rIdhaaigoipxuqeg2klatunf">
              <w:r>
                <w:rPr>
                  <w:rFonts w:ascii="Calibri" w:cs="Calibri" w:eastAsia="Calibri" w:hAnsi="Calibri"/>
                  <w:color w:val="1E4FA3"/>
                  <w:sz w:val="20"/>
                  <w:szCs w:val="20"/>
                  <w:u w:val="single"/>
                </w:rPr>
                <w:t xml:space="preserve">lovguiden.dk/praksisoversigt/ansaettelse/konkurrence-og-kundeklausul</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Version</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Oktober 2026</w:t>
            </w:r>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Format</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Redigerbar skabelon - udfyld felterne, og slet vejledningen</w:t>
            </w:r>
          </w:p>
        </w:tc>
      </w:tr>
    </w:tbl>
    <w:p>
      <w:pPr>
        <w:spacing w:after="120" w:before="480"/>
      </w:pPr>
      <w:r>
        <w:rPr>
          <w:rFonts w:ascii="Calibri" w:cs="Calibri" w:eastAsia="Calibri" w:hAnsi="Calibri"/>
          <w:b/>
          <w:bCs/>
          <w:color w:val="28394A"/>
          <w:spacing w:val="40"/>
          <w:sz w:val="17"/>
          <w:szCs w:val="17"/>
        </w:rPr>
        <w:t xml:space="preserve">SÅDAN BRUGES SKABELONEN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400"/>
        <w:gridCol w:w="6670"/>
      </w:tblGrid>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1C1917"/>
                <w:sz w:val="20"/>
                <w:szCs w:val="20"/>
                <w:shd w:fill="E8E6E1" w:color="auto" w:val="clear"/>
              </w:rPr>
              <w:t xml:space="preserve">[Navn]</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Grå felter i klammer udfyldes - fx navne, datoer og beløb.</w:t>
            </w:r>
          </w:p>
        </w:tc>
      </w:tr>
      <w:tr>
        <w:tc>
          <w:tcPr>
            <w:tcW w:type="dxa" w:w="2400"/>
            <w:tcBorders>
              <w:top w:val="none" w:color="FFFFFF" w:sz="0"/>
              <w:left w:val="single" w:color="C9A66B" w:sz="18"/>
              <w:bottom w:val="none" w:color="FFFFFF" w:sz="0"/>
              <w:right w:val="none" w:color="FFFFFF" w:sz="0"/>
            </w:tcBorders>
            <w:shd w:fill="F7F3EC" w:color="auto" w:val="clear"/>
            <w:tcMar>
              <w:top w:type="dxa" w:w="80"/>
              <w:left w:type="dxa" w:w="140"/>
              <w:bottom w:type="dxa" w:w="80"/>
              <w:right w:type="dxa" w:w="140"/>
            </w:tcMar>
            <w:vAlign w:val="center"/>
          </w:tcPr>
          <w:p>
            <w:r>
              <w:rPr>
                <w:rFonts w:ascii="Calibri" w:cs="Calibri" w:eastAsia="Calibri" w:hAnsi="Calibri"/>
                <w:b/>
                <w:bCs/>
                <w:color w:val="9A7032"/>
                <w:spacing w:val="30"/>
                <w:sz w:val="15"/>
                <w:szCs w:val="15"/>
              </w:rPr>
              <w:t xml:space="preserve">VEJLEDNING</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Tonede bokse er vejledning til jer og </w:t>
            </w:r>
            <w:r>
              <w:rPr>
                <w:rFonts w:ascii="Calibri" w:cs="Calibri" w:eastAsia="Calibri" w:hAnsi="Calibri"/>
                <w:b/>
                <w:bCs/>
                <w:color w:val="3F3A33"/>
                <w:sz w:val="19"/>
                <w:szCs w:val="19"/>
              </w:rPr>
              <w:t xml:space="preserve">slettes</w:t>
            </w:r>
            <w:r>
              <w:rPr>
                <w:rFonts w:ascii="Calibri" w:cs="Calibri" w:eastAsia="Calibri" w:hAnsi="Calibri"/>
                <w:color w:val="3F3A33"/>
                <w:sz w:val="19"/>
                <w:szCs w:val="19"/>
              </w:rPr>
              <w:t xml:space="preserve">, inden dokumentet bruges.</w:t>
            </w:r>
          </w:p>
        </w:tc>
      </w:tr>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28394A"/>
                <w:sz w:val="20"/>
                <w:szCs w:val="20"/>
              </w:rPr>
              <w:t xml:space="preserve">☐  Valgmulighed</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Vælg det, der passer, og slet resten. Afsnit, der ikke er relevante, kan slettes helt.</w:t>
            </w:r>
          </w:p>
        </w:tc>
      </w:tr>
    </w:tbl>
    <w:p>
      <w:pPr>
        <w:spacing w:after="0" w:before="480" w:line="288" w:lineRule="auto"/>
        <w:sectPr>
          <w:headerReference w:type="default" r:id="rId6"/>
          <w:footerReference w:type="default" r:id="rId7"/>
          <w:pgSz w:w="11906" w:h="16838" w:orient="portrait"/>
          <w:pgMar w:top="1100" w:right="1418" w:bottom="1300" w:left="1418" w:header="560" w:footer="560" w:gutter="0"/>
          <w:pgNumType/>
          <w:docGrid w:linePitch="360"/>
        </w:sectPr>
      </w:pPr>
      <w:r>
        <w:rPr>
          <w:rFonts w:ascii="Calibri" w:cs="Calibri" w:eastAsia="Calibri" w:hAnsi="Calibri"/>
          <w:i/>
          <w:iCs/>
          <w:color w:val="5F6B76"/>
          <w:sz w:val="16"/>
          <w:szCs w:val="16"/>
        </w:rPr>
        <w:t xml:space="preserve">Skabelonen er et udgangspunkt og ikke juridisk rådgivning. Lovgivningen kan være ændret siden udarbejdelsen - kontrollér reglerne, og søg rådgivning ved større eller usædvanlige forhold.</w:t>
      </w:r>
    </w:p>
    <w:p>
      <w:pPr>
        <w:spacing w:after="80" w:before="0"/>
      </w:pPr>
      <w:r>
        <w:rPr>
          <w:rFonts w:ascii="Calibri" w:cs="Calibri" w:eastAsia="Calibri" w:hAnsi="Calibri"/>
          <w:b/>
          <w:bCs/>
          <w:color w:val="9A7032"/>
          <w:spacing w:val="40"/>
          <w:sz w:val="17"/>
          <w:szCs w:val="17"/>
        </w:rPr>
        <w:t xml:space="preserve">SLETTES FØR BRUG</w:t>
      </w:r>
    </w:p>
    <w:p>
      <w:pPr>
        <w:spacing w:after="240"/>
      </w:pPr>
      <w:r>
        <w:rPr>
          <w:rFonts w:ascii="Calibri" w:cs="Calibri" w:eastAsia="Calibri" w:hAnsi="Calibri"/>
          <w:b/>
          <w:bCs/>
          <w:color w:val="28394A"/>
          <w:sz w:val="40"/>
          <w:szCs w:val="40"/>
        </w:rPr>
        <w:t xml:space="preserve">Før du går i gang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VIGTIGT AT VIDE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Vælg klausultype: En </w:t>
      </w:r>
      <w:r>
        <w:rPr>
          <w:rFonts w:ascii="Calibri" w:cs="Calibri" w:eastAsia="Calibri" w:hAnsi="Calibri"/>
          <w:b/>
          <w:bCs/>
          <w:color w:val="3F3A33"/>
          <w:sz w:val="19"/>
          <w:szCs w:val="19"/>
        </w:rPr>
        <w:t xml:space="preserve">konkurrenceklausul</w:t>
      </w:r>
      <w:r>
        <w:rPr>
          <w:rFonts w:ascii="Calibri" w:cs="Calibri" w:eastAsia="Calibri" w:hAnsi="Calibri"/>
          <w:color w:val="3F3A33"/>
          <w:sz w:val="19"/>
          <w:szCs w:val="19"/>
        </w:rPr>
        <w:t xml:space="preserve"> begrænser medarbejderens adgang til at arbejde i eller drive konkurrerende virksomhed. En </w:t>
      </w:r>
      <w:r>
        <w:rPr>
          <w:rFonts w:ascii="Calibri" w:cs="Calibri" w:eastAsia="Calibri" w:hAnsi="Calibri"/>
          <w:b/>
          <w:bCs/>
          <w:color w:val="3F3A33"/>
          <w:sz w:val="19"/>
          <w:szCs w:val="19"/>
        </w:rPr>
        <w:t xml:space="preserve">kundeklausul</w:t>
      </w:r>
      <w:r>
        <w:rPr>
          <w:rFonts w:ascii="Calibri" w:cs="Calibri" w:eastAsia="Calibri" w:hAnsi="Calibri"/>
          <w:color w:val="3F3A33"/>
          <w:sz w:val="19"/>
          <w:szCs w:val="19"/>
        </w:rPr>
        <w:t xml:space="preserve"> begrænser adgangen til at arbejde for eller med bestemte kunder. En </w:t>
      </w:r>
      <w:r>
        <w:rPr>
          <w:rFonts w:ascii="Calibri" w:cs="Calibri" w:eastAsia="Calibri" w:hAnsi="Calibri"/>
          <w:b/>
          <w:bCs/>
          <w:color w:val="3F3A33"/>
          <w:sz w:val="19"/>
          <w:szCs w:val="19"/>
        </w:rPr>
        <w:t xml:space="preserve">kombineret klausul</w:t>
      </w:r>
      <w:r>
        <w:rPr>
          <w:rFonts w:ascii="Calibri" w:cs="Calibri" w:eastAsia="Calibri" w:hAnsi="Calibri"/>
          <w:color w:val="3F3A33"/>
          <w:sz w:val="19"/>
          <w:szCs w:val="19"/>
        </w:rPr>
        <w:t xml:space="preserve"> indeholder begge dele og må højst gælde i 6 måneder.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En konkurrenceklausul kan kun bruges over for medarbejdere i en </w:t>
      </w:r>
      <w:r>
        <w:rPr>
          <w:rFonts w:ascii="Calibri" w:cs="Calibri" w:eastAsia="Calibri" w:hAnsi="Calibri"/>
          <w:b/>
          <w:bCs/>
          <w:color w:val="3F3A33"/>
          <w:sz w:val="19"/>
          <w:szCs w:val="19"/>
        </w:rPr>
        <w:t xml:space="preserve">helt særlig betroet stilling</w:t>
      </w:r>
      <w:r>
        <w:rPr>
          <w:rFonts w:ascii="Calibri" w:cs="Calibri" w:eastAsia="Calibri" w:hAnsi="Calibri"/>
          <w:color w:val="3F3A33"/>
          <w:sz w:val="19"/>
          <w:szCs w:val="19"/>
        </w:rPr>
        <w:t xml:space="preserve"> (eller med en aftale om udnyttelse af en opfindelse). Begrundelsen skal være konkret og gives skriftligt nu - den kan ikke repareres senere. Er stillingen ikke helt særlig betroet, så brug en kundeklausul.</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Klausulen kan underskrives før tiltrædelsen, men kan først gøres gældende, når medarbejderen har været ansat uafbrudt i mindst 6 måneder.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Kompensation er en betingelse for, at klausulen er gyldig. Minimumssatserne står i vejledningen under Kompensation. Jobklausuler - fx aftaler mellem virksomheder om ikke at ansætte hinandens medarbejdere - er ugyldige (§ 3). Den eneste undtagelse er forhandlinger om virksomhedsoverdragelse (§ 4).</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Bruges </w:t>
      </w:r>
      <w:r>
        <w:rPr>
          <w:rFonts w:ascii="Calibri" w:cs="Calibri" w:eastAsia="Calibri" w:hAnsi="Calibri"/>
          <w:b/>
          <w:bCs/>
          <w:color w:val="3F3A33"/>
          <w:sz w:val="19"/>
          <w:szCs w:val="19"/>
        </w:rPr>
        <w:t xml:space="preserve">ikke</w:t>
      </w:r>
      <w:r>
        <w:rPr>
          <w:rFonts w:ascii="Calibri" w:cs="Calibri" w:eastAsia="Calibri" w:hAnsi="Calibri"/>
          <w:color w:val="3F3A33"/>
          <w:sz w:val="19"/>
          <w:szCs w:val="19"/>
        </w:rPr>
        <w:t xml:space="preserve"> til registrerede direktører. For dem gælder kun ansættelsesklausullovens § 11 - brug direktørkontraktens klausulafsnit. Er medarbejderen omfattet af en overenskomst, så tjek, om den har særlige regler - lovens regler om klausulernes indhold og kompensation (kapitel 3) kan fraviges ved overenskomst (§ 2).</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Faldgruber: standardbegrundelse for en konkurrenceklausul; kombineret klausul på mere end 6 måneder; kundeklausul for "alle kunder og forretningsforbindelser"; ingen kundeliste ved fratræden; engangsbeløbet betales ikke senest ved fratrædelsen; kompensation under minimum.</w:t>
      </w:r>
    </w:p>
    <w:p>
      <w:pPr>
        <w:spacing w:after="12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KILDER OG INSPIRATION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Ansættelsesklausulloven (lov nr. 1565 af 15. december 2015 om ansættelsesklausuler), §§ 1-11. Gælder for klausuler aftalt 1. januar 2016 eller senere (§ 12).</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Aftaleloven § 36 (nedsættelse af urimelige vilkår, fx konventionalbod).</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Lov om forretningshemmeligheder (erhvervshemmelighedsloven).</w:t>
      </w:r>
    </w:p>
    <w:p>
      <w:pPr>
        <w:spacing w:before="200"/>
        <w:sectPr>
          <w:headerReference w:type="default" r:id="rId8"/>
          <w:footerReference w:type="default" r:id="rId9"/>
          <w:pgSz w:w="11906" w:h="16838" w:orient="portrait"/>
          <w:pgMar w:top="1418" w:right="1418" w:bottom="1300" w:left="1418" w:header="560" w:footer="560" w:gutter="0"/>
          <w:pgNumType/>
          <w:docGrid w:linePitch="360"/>
        </w:sectPr>
      </w:pPr>
      <w:r>
        <w:rPr>
          <w:rFonts w:ascii="Calibri" w:cs="Calibri" w:eastAsia="Calibri" w:hAnsi="Calibri"/>
          <w:color w:val="1C1917"/>
          <w:sz w:val="20"/>
          <w:szCs w:val="20"/>
        </w:rPr>
        <w:t xml:space="preserve">Læs guiden med lovkrav, faldgruber og praksis: </w:t>
      </w:r>
      <w:hyperlink w:history="1" r:id="rIdin06ur2b5avthc8tc0jfc">
        <w:r>
          <w:rPr>
            <w:rFonts w:ascii="Calibri" w:cs="Calibri" w:eastAsia="Calibri" w:hAnsi="Calibri"/>
            <w:color w:val="1E4FA3"/>
            <w:sz w:val="20"/>
            <w:szCs w:val="20"/>
            <w:u w:val="single"/>
          </w:rPr>
          <w:t xml:space="preserve">lovguiden.dk/praksisoversigt/ansaettelse/konkurrence-og-kundeklausul</w:t>
        </w:r>
      </w:hyperlink>
    </w:p>
    <w:p>
      <w:pPr>
        <w:spacing w:after="80"/>
      </w:pPr>
      <w:r>
        <w:rPr>
          <w:rFonts w:ascii="Calibri" w:cs="Calibri" w:eastAsia="Calibri" w:hAnsi="Calibri"/>
          <w:b/>
          <w:bCs/>
          <w:color w:val="28394A"/>
          <w:sz w:val="44"/>
          <w:szCs w:val="44"/>
        </w:rPr>
        <w:t xml:space="preserve">Aftale om konkurrence- og kundeklausul</w:t>
      </w:r>
    </w:p>
    <w:p>
      <w:pPr>
        <w:spacing w:after="120" w:line="288" w:lineRule="auto"/>
      </w:pPr>
      <w:r>
        <w:rPr>
          <w:rFonts w:ascii="Calibri" w:cs="Calibri" w:eastAsia="Calibri" w:hAnsi="Calibri"/>
          <w:color w:val="5F6B76"/>
          <w:sz w:val="22"/>
          <w:szCs w:val="22"/>
        </w:rPr>
        <w:t xml:space="preserve">Bilag til ansættelseskontrakt af </w:t>
      </w:r>
      <w:r>
        <w:rPr>
          <w:rFonts w:ascii="Calibri" w:cs="Calibri" w:eastAsia="Calibri" w:hAnsi="Calibri"/>
          <w:color w:val="1C1917"/>
          <w:sz w:val="22"/>
          <w:szCs w:val="22"/>
          <w:shd w:fill="E8E6E1" w:color="auto" w:val="clear"/>
        </w:rPr>
        <w:t xml:space="preserve">[Dato]</w:t>
      </w:r>
      <w:r>
        <w:rPr>
          <w:rFonts w:ascii="Calibri" w:cs="Calibri" w:eastAsia="Calibri" w:hAnsi="Calibri"/>
          <w:color w:val="5F6B76"/>
          <w:sz w:val="22"/>
          <w:szCs w:val="22"/>
        </w:rPr>
        <w:t xml:space="preserve"> mellem </w:t>
      </w:r>
      <w:r>
        <w:rPr>
          <w:rFonts w:ascii="Calibri" w:cs="Calibri" w:eastAsia="Calibri" w:hAnsi="Calibri"/>
          <w:color w:val="1C1917"/>
          <w:sz w:val="22"/>
          <w:szCs w:val="22"/>
          <w:shd w:fill="E8E6E1" w:color="auto" w:val="clear"/>
        </w:rPr>
        <w:t xml:space="preserve">[Arbejdsgiver]</w:t>
      </w:r>
      <w:r>
        <w:rPr>
          <w:rFonts w:ascii="Calibri" w:cs="Calibri" w:eastAsia="Calibri" w:hAnsi="Calibri"/>
          <w:color w:val="5F6B76"/>
          <w:sz w:val="22"/>
          <w:szCs w:val="22"/>
        </w:rPr>
        <w:t xml:space="preserve"> og </w:t>
      </w:r>
      <w:r>
        <w:rPr>
          <w:rFonts w:ascii="Calibri" w:cs="Calibri" w:eastAsia="Calibri" w:hAnsi="Calibri"/>
          <w:color w:val="1C1917"/>
          <w:sz w:val="22"/>
          <w:szCs w:val="22"/>
          <w:shd w:fill="E8E6E1" w:color="auto" w:val="clear"/>
        </w:rPr>
        <w:t xml:space="preserve">[Medarbejder]</w:t>
      </w:r>
    </w:p>
    <w:p>
      <w:pPr>
        <w:pBdr>
          <w:bottom w:val="single" w:color="9A7032" w:sz="12"/>
        </w:pBdr>
        <w:spacing w:after="360"/>
        <w:ind w:right="760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Parter og tilknytning</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Arbejdsgiver</w:t>
      </w:r>
      <w:r>
        <w:t xml:space="preserve">	</w:t>
      </w:r>
      <w:r>
        <w:rPr>
          <w:rFonts w:ascii="Calibri" w:cs="Calibri" w:eastAsia="Calibri" w:hAnsi="Calibri"/>
          <w:color w:val="1C1917"/>
          <w:sz w:val="22"/>
          <w:szCs w:val="22"/>
          <w:shd w:fill="E8E6E1" w:color="auto" w:val="clear"/>
        </w:rPr>
        <w:t xml:space="preserve">[Virksomhedens 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CVR-nr.</w:t>
      </w:r>
      <w:r>
        <w:t xml:space="preserve">	</w:t>
      </w:r>
      <w:r>
        <w:rPr>
          <w:rFonts w:ascii="Calibri" w:cs="Calibri" w:eastAsia="Calibri" w:hAnsi="Calibri"/>
          <w:color w:val="1C1917"/>
          <w:sz w:val="22"/>
          <w:szCs w:val="22"/>
          <w:shd w:fill="E8E6E1" w:color="auto" w:val="clear"/>
        </w:rPr>
        <w:t xml:space="preserve">[CVR-nr.]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Medarbejder</w:t>
      </w:r>
      <w:r>
        <w:t xml:space="preserve">	</w:t>
      </w:r>
      <w:r>
        <w:rPr>
          <w:rFonts w:ascii="Calibri" w:cs="Calibri" w:eastAsia="Calibri" w:hAnsi="Calibri"/>
          <w:color w:val="1C1917"/>
          <w:sz w:val="22"/>
          <w:szCs w:val="22"/>
          <w:shd w:fill="E8E6E1" w:color="auto" w:val="clear"/>
        </w:rPr>
        <w:t xml:space="preserve">[Fulde 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Stilling</w:t>
      </w:r>
      <w:r>
        <w:t xml:space="preserve">	</w:t>
      </w:r>
      <w:r>
        <w:rPr>
          <w:rFonts w:ascii="Calibri" w:cs="Calibri" w:eastAsia="Calibri" w:hAnsi="Calibri"/>
          <w:color w:val="1C1917"/>
          <w:sz w:val="22"/>
          <w:szCs w:val="22"/>
          <w:shd w:fill="E8E6E1" w:color="auto" w:val="clear"/>
        </w:rPr>
        <w:t xml:space="preserve">[Stillingsbetegnelse]</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Ansættelseskontrakt</w:t>
      </w:r>
      <w:r>
        <w:t xml:space="preserve">	</w:t>
      </w:r>
      <w:r>
        <w:rPr>
          <w:rFonts w:ascii="Calibri" w:cs="Calibri" w:eastAsia="Calibri" w:hAnsi="Calibri"/>
          <w:color w:val="1C1917"/>
          <w:sz w:val="22"/>
          <w:szCs w:val="22"/>
        </w:rPr>
        <w:t xml:space="preserve">Af </w:t>
      </w:r>
      <w:r>
        <w:rPr>
          <w:rFonts w:ascii="Calibri" w:cs="Calibri" w:eastAsia="Calibri" w:hAnsi="Calibri"/>
          <w:color w:val="1C1917"/>
          <w:sz w:val="22"/>
          <w:szCs w:val="22"/>
          <w:shd w:fill="E8E6E1" w:color="auto" w:val="clear"/>
        </w:rPr>
        <w:t xml:space="preserve">[Dato]</w:t>
      </w:r>
    </w:p>
    <w:p>
      <w:pPr>
        <w:spacing w:after="120" w:line="288" w:lineRule="auto"/>
      </w:pPr>
      <w:r>
        <w:rPr>
          <w:rFonts w:ascii="Calibri" w:cs="Calibri" w:eastAsia="Calibri" w:hAnsi="Calibri"/>
          <w:color w:val="1C1917"/>
          <w:sz w:val="22"/>
          <w:szCs w:val="22"/>
        </w:rPr>
        <w:t xml:space="preserve">Denne aftale er et bilag til og en del af ansættelseskontrakten.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Klausultype</w:t>
      </w:r>
    </w:p>
    <w:p>
      <w:pPr>
        <w:spacing w:after="120" w:line="288" w:lineRule="auto"/>
      </w:pPr>
      <w:r>
        <w:rPr>
          <w:rFonts w:ascii="Calibri" w:cs="Calibri" w:eastAsia="Calibri" w:hAnsi="Calibri"/>
          <w:color w:val="1C1917"/>
          <w:sz w:val="22"/>
          <w:szCs w:val="22"/>
        </w:rPr>
        <w:t xml:space="preserve">Medarbejderen er omfattet af følgende: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Konkurrenceklausul (se Konkurrenceklausul).</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Kundeklausul (se Kundeklausul).</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Kombineret konkurrence- og kundeklausul (se begge afsnit). Klausulen gælder højst i 6 måneder.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Konkurrenceklausul</w:t>
      </w:r>
    </w:p>
    <w:p>
      <w:pPr>
        <w:spacing w:after="120" w:line="288" w:lineRule="auto"/>
      </w:pPr>
      <w:r>
        <w:rPr>
          <w:rFonts w:ascii="Calibri" w:cs="Calibri" w:eastAsia="Calibri" w:hAnsi="Calibri"/>
          <w:color w:val="1C1917"/>
          <w:sz w:val="22"/>
          <w:szCs w:val="22"/>
        </w:rPr>
        <w:t xml:space="preserve">Medarbejderen må ikke i den periode, der er fastsat under Varighed, </w:t>
      </w:r>
      <w:r>
        <w:rPr>
          <w:rFonts w:ascii="Calibri" w:cs="Calibri" w:eastAsia="Calibri" w:hAnsi="Calibri"/>
          <w:color w:val="1C1917"/>
          <w:sz w:val="22"/>
          <w:szCs w:val="22"/>
          <w:shd w:fill="E8E6E1" w:color="auto" w:val="clear"/>
        </w:rPr>
        <w:t xml:space="preserve">[tage ansættelse i / drive / være medejer af / deltage i]</w:t>
      </w:r>
      <w:r>
        <w:rPr>
          <w:rFonts w:ascii="Calibri" w:cs="Calibri" w:eastAsia="Calibri" w:hAnsi="Calibri"/>
          <w:color w:val="1C1917"/>
          <w:sz w:val="22"/>
          <w:szCs w:val="22"/>
        </w:rPr>
        <w:t xml:space="preserve"> virksomhed, der konkurrerer med arbejdsgiveren inden for </w:t>
      </w:r>
      <w:r>
        <w:rPr>
          <w:rFonts w:ascii="Calibri" w:cs="Calibri" w:eastAsia="Calibri" w:hAnsi="Calibri"/>
          <w:color w:val="1C1917"/>
          <w:sz w:val="22"/>
          <w:szCs w:val="22"/>
          <w:shd w:fill="E8E6E1" w:color="auto" w:val="clear"/>
        </w:rPr>
        <w:t xml:space="preserve">[Konkret forretningsområde]</w:t>
      </w:r>
      <w:r>
        <w:rPr>
          <w:rFonts w:ascii="Calibri" w:cs="Calibri" w:eastAsia="Calibri" w:hAnsi="Calibri"/>
          <w:color w:val="1C1917"/>
          <w:sz w:val="22"/>
          <w:szCs w:val="22"/>
        </w:rPr>
        <w:t xml:space="preserve"> i </w:t>
      </w:r>
      <w:r>
        <w:rPr>
          <w:rFonts w:ascii="Calibri" w:cs="Calibri" w:eastAsia="Calibri" w:hAnsi="Calibri"/>
          <w:color w:val="1C1917"/>
          <w:sz w:val="22"/>
          <w:szCs w:val="22"/>
          <w:shd w:fill="E8E6E1" w:color="auto" w:val="clear"/>
        </w:rPr>
        <w:t xml:space="preserve">[Geografisk område]</w:t>
      </w:r>
      <w:r>
        <w:rPr>
          <w:rFonts w:ascii="Calibri" w:cs="Calibri" w:eastAsia="Calibri" w:hAnsi="Calibri"/>
          <w:color w:val="1C1917"/>
          <w:sz w:val="22"/>
          <w:szCs w:val="22"/>
        </w:rPr>
        <w:t xml:space="preserve">.</w:t>
      </w:r>
    </w:p>
    <w:p>
      <w:pPr>
        <w:keepNext/>
        <w:spacing w:after="80" w:before="220"/>
      </w:pPr>
      <w:r>
        <w:rPr>
          <w:rFonts w:ascii="Calibri" w:cs="Calibri" w:eastAsia="Calibri" w:hAnsi="Calibri"/>
          <w:b/>
          <w:bCs/>
          <w:color w:val="28394A"/>
          <w:sz w:val="22"/>
          <w:szCs w:val="22"/>
        </w:rPr>
        <w:t xml:space="preserve">Begrundelse</w:t>
      </w:r>
    </w:p>
    <w:p>
      <w:pPr>
        <w:spacing w:after="120" w:line="288" w:lineRule="auto"/>
      </w:pPr>
      <w:r>
        <w:rPr>
          <w:rFonts w:ascii="Calibri" w:cs="Calibri" w:eastAsia="Calibri" w:hAnsi="Calibri"/>
          <w:color w:val="1C1917"/>
          <w:sz w:val="22"/>
          <w:szCs w:val="22"/>
        </w:rPr>
        <w:t xml:space="preserve">Klausulen er påkrævet, fordi medarbejderen indtager en helt særlig betroet stilling. Det skyldes følgende forhold i ansættelsen: </w:t>
      </w:r>
      <w:r>
        <w:rPr>
          <w:rFonts w:ascii="Calibri" w:cs="Calibri" w:eastAsia="Calibri" w:hAnsi="Calibri"/>
          <w:color w:val="1C1917"/>
          <w:sz w:val="22"/>
          <w:szCs w:val="22"/>
          <w:shd w:fill="E8E6E1" w:color="auto" w:val="clear"/>
        </w:rPr>
        <w:t xml:space="preserve">[Konkret beskrivelse, fx adgang til kalkulationer og prisstrategi, ansvar for leverandøraftaler, deltagelse i produktudvikling eller strategiarbejde]</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Klausulen er desuden påkrævet, fordi medarbejderen har aftalt med arbejdsgiveren, at arbejdsgiveren kan udnytte </w:t>
      </w:r>
      <w:r>
        <w:rPr>
          <w:rFonts w:ascii="Calibri" w:cs="Calibri" w:eastAsia="Calibri" w:hAnsi="Calibri"/>
          <w:color w:val="1C1917"/>
          <w:sz w:val="22"/>
          <w:szCs w:val="22"/>
          <w:shd w:fill="E8E6E1" w:color="auto" w:val="clear"/>
        </w:rPr>
        <w:t xml:space="preserve">[Opfindelse eller aftale]</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En konkurrenceklausul er kun gyldig, hvis medarbejderen 1) indtager en helt særlig betroet stilling eller har indgået aftale om udnyttelse af en opfindelse, 2) skriftligt har fået oplyst, hvilke forhold i ansættelsen der gør klausulen påkrævet, 3) har været ansat uafbrudt i mindst 6 måneder, 4) får kompensation, 5) højst er bundet i 12 måneder fra fratrædelsen, og 6) skriftligt har fået oplysningerne i nr. 1-5 (ansættelsesklausulloven § 5).</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Beskriv konkret, hvad medarbejderen har adgang til eller ansvar for. En generel formulering som "medarbejderen har adgang til fortrolige oplysninger" er ikke nok.</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Afgræns forretningsområde og geografi så snævert som muligt. En konkurrenceklausul, der går videre end påkrævet, er ikke bindende (§ 11, stk. 2). Slet afsnittet, hvis der kun er en kundeklausul.</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Kundeklausul</w:t>
      </w:r>
    </w:p>
    <w:p>
      <w:pPr>
        <w:spacing w:after="120" w:line="288" w:lineRule="auto"/>
      </w:pPr>
      <w:r>
        <w:rPr>
          <w:rFonts w:ascii="Calibri" w:cs="Calibri" w:eastAsia="Calibri" w:hAnsi="Calibri"/>
          <w:color w:val="1C1917"/>
          <w:sz w:val="22"/>
          <w:szCs w:val="22"/>
        </w:rPr>
        <w:t xml:space="preserve">Medarbejderen må ikke i den periode, der er fastsat under Varighed, tage ansættelse hos eller have erhvervsmæssig kontakt med de af arbejdsgiverens kunder, som medarbejderen har haft forretningsmæssig forbindelse med inden for de seneste 12 måneder før opsigelsen eller afskedigelsen.</w:t>
      </w:r>
    </w:p>
    <w:p>
      <w:pPr>
        <w:spacing w:after="120" w:line="288" w:lineRule="auto"/>
      </w:pPr>
      <w:r>
        <w:rPr>
          <w:rFonts w:ascii="Calibri" w:cs="Calibri" w:eastAsia="Calibri" w:hAnsi="Calibri"/>
          <w:color w:val="1C1917"/>
          <w:sz w:val="22"/>
          <w:szCs w:val="22"/>
        </w:rPr>
        <w:t xml:space="preserve">Klausulen omfatter både direkte og indirekte kontakt, herunder gennem en ny arbejdsgiver eller egen virksomhed.</w:t>
      </w:r>
    </w:p>
    <w:p>
      <w:pPr>
        <w:spacing w:after="120" w:line="288" w:lineRule="auto"/>
      </w:pPr>
      <w:r>
        <w:rPr>
          <w:rFonts w:ascii="Calibri" w:cs="Calibri" w:eastAsia="Calibri" w:hAnsi="Calibri"/>
          <w:color w:val="1C1917"/>
          <w:sz w:val="22"/>
          <w:szCs w:val="22"/>
        </w:rPr>
        <w:t xml:space="preserve">Når medarbejderen opsiges eller selv siger op, udleverer arbejdsgiveren en liste over de kunder, som klausulen omfatter. Listen udarbejdes efter skemaet i bilaget til denne aftale.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Følgende kunder er undtaget fra klausulen: </w:t>
      </w:r>
      <w:r>
        <w:rPr>
          <w:rFonts w:ascii="Calibri" w:cs="Calibri" w:eastAsia="Calibri" w:hAnsi="Calibri"/>
          <w:color w:val="1C1917"/>
          <w:sz w:val="22"/>
          <w:szCs w:val="22"/>
          <w:shd w:fill="E8E6E1" w:color="auto" w:val="clear"/>
        </w:rPr>
        <w:t xml:space="preserve">[Navne på undtagne kunder]</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En kundeklausul er kun gyldig, hvis den 1) angår kunder, som medarbejderen har haft forretningsmæssig forbindelse med inden for de seneste 12 måneder før opsigelsen eller afskedigelsen, 2) ansættelsen har varet uafbrudt i mindst 6 måneder, 3) der betales kompensation, 4) bindingen højst varer 12 måneder, og 5) oplysningerne i nr. 1-4 er givet skriftligt (ansættelsesklausulloven § 6, stk. 1).</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Kundelisten skal udleveres, når medarbejderen opsiges eller siger op (§ 6, stk. 2). En klausul om "alle kunder og forretningsforbindelser" er ugyldig.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Undtagne kunder er valgfrit. Det kan fx bruges, når medarbejderen har haft kunderne med fra en tidligere ansættelse.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Ikrafttræden</w:t>
      </w:r>
    </w:p>
    <w:p>
      <w:pPr>
        <w:spacing w:after="120" w:line="288" w:lineRule="auto"/>
      </w:pPr>
      <w:r>
        <w:rPr>
          <w:rFonts w:ascii="Calibri" w:cs="Calibri" w:eastAsia="Calibri" w:hAnsi="Calibri"/>
          <w:color w:val="1C1917"/>
          <w:sz w:val="22"/>
          <w:szCs w:val="22"/>
        </w:rPr>
        <w:t xml:space="preserve">Klausulen kan kun gøres gældende, hvis medarbejderen har været ansat uafbrudt hos arbejdsgiveren i mindst 6 måneder.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Varighed</w:t>
      </w:r>
    </w:p>
    <w:p>
      <w:pPr>
        <w:spacing w:after="120" w:line="288" w:lineRule="auto"/>
      </w:pPr>
      <w:r>
        <w:rPr>
          <w:rFonts w:ascii="Calibri" w:cs="Calibri" w:eastAsia="Calibri" w:hAnsi="Calibri"/>
          <w:color w:val="1C1917"/>
          <w:sz w:val="22"/>
          <w:szCs w:val="22"/>
        </w:rPr>
        <w:t xml:space="preserve">Klausulen gælder i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 fra fratrædelsestidspunktet.</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Højst 12 måneder for en konkurrenceklausul og for en kundeklausul. Højst 6 måneder for en kombineret klausul (ansættelsesklausulloven § 7).</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Får medarbejderen løn i en opsigelsesperiode efter den faktiske fratræden (fx ved fritstilling), regnes fratrædelsestidspunktet fra udløbet af den periode (§ 10, stk. 3).</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Kompensation</w:t>
      </w:r>
    </w:p>
    <w:p>
      <w:pPr>
        <w:spacing w:after="120" w:line="288" w:lineRule="auto"/>
      </w:pPr>
      <w:r>
        <w:rPr>
          <w:rFonts w:ascii="Calibri" w:cs="Calibri" w:eastAsia="Calibri" w:hAnsi="Calibri"/>
          <w:color w:val="1C1917"/>
          <w:sz w:val="22"/>
          <w:szCs w:val="22"/>
        </w:rPr>
        <w:t xml:space="preserve">Så længe klausulen gælder, betaler arbejdsgiveren medarbejderen en månedlig kompensation på </w:t>
      </w:r>
      <w:r>
        <w:rPr>
          <w:rFonts w:ascii="Calibri" w:cs="Calibri" w:eastAsia="Calibri" w:hAnsi="Calibri"/>
          <w:color w:val="1C1917"/>
          <w:sz w:val="22"/>
          <w:szCs w:val="22"/>
          <w:shd w:fill="E8E6E1" w:color="auto" w:val="clear"/>
        </w:rPr>
        <w:t xml:space="preserve">[Procentsats]</w:t>
      </w:r>
      <w:r>
        <w:rPr>
          <w:rFonts w:ascii="Calibri" w:cs="Calibri" w:eastAsia="Calibri" w:hAnsi="Calibri"/>
          <w:color w:val="1C1917"/>
          <w:sz w:val="22"/>
          <w:szCs w:val="22"/>
        </w:rPr>
        <w:t xml:space="preserve"> af medarbejderens månedsløn på fratrædelsestidspunktet.</w:t>
      </w:r>
    </w:p>
    <w:p>
      <w:pPr>
        <w:spacing w:after="120" w:line="288" w:lineRule="auto"/>
      </w:pPr>
      <w:r>
        <w:rPr>
          <w:rFonts w:ascii="Calibri" w:cs="Calibri" w:eastAsia="Calibri" w:hAnsi="Calibri"/>
          <w:color w:val="1C1917"/>
          <w:sz w:val="22"/>
          <w:szCs w:val="22"/>
        </w:rPr>
        <w:t xml:space="preserve">Har medarbejderen fået andet passende arbejde, nedsættes kompensationen fra og med den 3. måned efter fratrædelsen til </w:t>
      </w:r>
      <w:r>
        <w:rPr>
          <w:rFonts w:ascii="Calibri" w:cs="Calibri" w:eastAsia="Calibri" w:hAnsi="Calibri"/>
          <w:color w:val="1C1917"/>
          <w:sz w:val="22"/>
          <w:szCs w:val="22"/>
          <w:shd w:fill="E8E6E1" w:color="auto" w:val="clear"/>
        </w:rPr>
        <w:t xml:space="preserve">[Procentsats]</w:t>
      </w:r>
      <w:r>
        <w:rPr>
          <w:rFonts w:ascii="Calibri" w:cs="Calibri" w:eastAsia="Calibri" w:hAnsi="Calibri"/>
          <w:color w:val="1C1917"/>
          <w:sz w:val="22"/>
          <w:szCs w:val="22"/>
        </w:rPr>
        <w:t xml:space="preserve"> af månedslønnen.</w:t>
      </w:r>
    </w:p>
    <w:p>
      <w:pPr>
        <w:spacing w:after="120" w:line="288" w:lineRule="auto"/>
      </w:pPr>
      <w:r>
        <w:rPr>
          <w:rFonts w:ascii="Calibri" w:cs="Calibri" w:eastAsia="Calibri" w:hAnsi="Calibri"/>
          <w:color w:val="1C1917"/>
          <w:sz w:val="22"/>
          <w:szCs w:val="22"/>
        </w:rPr>
        <w:t xml:space="preserve">Månedslønnen omfatter </w:t>
      </w:r>
      <w:r>
        <w:rPr>
          <w:rFonts w:ascii="Calibri" w:cs="Calibri" w:eastAsia="Calibri" w:hAnsi="Calibri"/>
          <w:color w:val="1C1917"/>
          <w:sz w:val="22"/>
          <w:szCs w:val="22"/>
          <w:shd w:fill="E8E6E1" w:color="auto" w:val="clear"/>
        </w:rPr>
        <w:t xml:space="preserve">[alle faste og variable løndele, herunder pension og personalegoder / Andet lønbegreb]</w:t>
      </w:r>
      <w:r>
        <w:rPr>
          <w:rFonts w:ascii="Calibri" w:cs="Calibri" w:eastAsia="Calibri" w:hAnsi="Calibri"/>
          <w:color w:val="1C1917"/>
          <w:sz w:val="22"/>
          <w:szCs w:val="22"/>
        </w:rPr>
        <w:t xml:space="preserve">. Variable løndele opgøres som gennemsnittet af de seneste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 før fratrædelsen.</w:t>
      </w:r>
    </w:p>
    <w:p>
      <w:pPr>
        <w:spacing w:after="120" w:line="288" w:lineRule="auto"/>
      </w:pPr>
      <w:r>
        <w:rPr>
          <w:rFonts w:ascii="Calibri" w:cs="Calibri" w:eastAsia="Calibri" w:hAnsi="Calibri"/>
          <w:color w:val="1C1917"/>
          <w:sz w:val="22"/>
          <w:szCs w:val="22"/>
        </w:rPr>
        <w:t xml:space="preserve">Kompensationen for de første 2 måneder betales som et engangsbeløb senest på fratrædelsesdagen. Den øvrige kompensation betales månedsvis bagud på den sædvanlige lønningsdag.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Minimumskompensation (ansættelsesklausulloven §§ 8 og 9), beregnet af månedslønnen på fratrædelsestidspunktet:</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 Konkurrence- eller kundeklausul på op til 6 måneder: mindst 40 %. Har medarbejderen fået andet passende arbejde, mindst 16 % fra og med 3. måned.</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 Konkurrence- eller kundeklausul på mere end 6 og op til 12 måneder: mindst 60 %. Har medarbejderen fået andet passende arbejde, mindst 24 % fra og med 3. måned.</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 Kombineret klausul (højst 6 måneder): mindst 60 %. Har medarbejderen fået andet passende arbejde, mindst 24 % fra og med 3. måned.</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Engangsbeløbet for de første 2 måneder skal betales senest ved fratrædelsen, uanset om medarbejderen har fået nyt arbejde.</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Loven definerer ikke "lønnen pr. måned". Skriv derfor, hvilke løndele der indgår. Et snævert lønbegreb øger risikoen for, at kompensationen bliver for lav. Satserne er minimum - der kan aftales højere.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Pligt til at søge andet arbejde</w:t>
      </w:r>
    </w:p>
    <w:p>
      <w:pPr>
        <w:spacing w:after="120" w:line="288" w:lineRule="auto"/>
      </w:pPr>
      <w:r>
        <w:rPr>
          <w:rFonts w:ascii="Calibri" w:cs="Calibri" w:eastAsia="Calibri" w:hAnsi="Calibri"/>
          <w:color w:val="1C1917"/>
          <w:sz w:val="22"/>
          <w:szCs w:val="22"/>
        </w:rPr>
        <w:t xml:space="preserve">Medarbejderen skal aktivt søge andet passende arbejde, så længe klausulen gælder, og skal straks give arbejdsgiveren skriftlig besked om nyt arbejde, herunder startdato og arbejdsgiver.</w:t>
      </w:r>
    </w:p>
    <w:p>
      <w:pPr>
        <w:spacing w:after="120" w:line="288" w:lineRule="auto"/>
      </w:pPr>
      <w:r>
        <w:rPr>
          <w:rFonts w:ascii="Calibri" w:cs="Calibri" w:eastAsia="Calibri" w:hAnsi="Calibri"/>
          <w:color w:val="1C1917"/>
          <w:sz w:val="22"/>
          <w:szCs w:val="22"/>
        </w:rPr>
        <w:t xml:space="preserve">Ved andet passende arbejde forstås </w:t>
      </w:r>
      <w:r>
        <w:rPr>
          <w:rFonts w:ascii="Calibri" w:cs="Calibri" w:eastAsia="Calibri" w:hAnsi="Calibri"/>
          <w:color w:val="1C1917"/>
          <w:sz w:val="22"/>
          <w:szCs w:val="22"/>
          <w:shd w:fill="E8E6E1" w:color="auto" w:val="clear"/>
        </w:rPr>
        <w:t xml:space="preserve">[Fx arbejde, der svarer til medarbejderens uddannelse og erfaring, og som ikke er omfattet af klausulen]</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Søger medarbejderen ikke aktivt andet passende arbejde, bortfalder retten til den løbende kompensation. Engangsbeløbet påvirkes ikke.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Reglen følger ansættelsesklausulloven § 8, stk. 5, og § 9, stk. 4. Loven definerer andet passende arbejde som arbejde inden for et fagligt område, som medarbejderen er uddannet til eller har arbejdet inden for (§ 1, stk. 2, nr. 3). Arbejdsgiveren kan bede om dokumentation for jobsøgning.</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9.</w:t>
      </w:r>
      <w:r>
        <w:rPr>
          <w:rFonts w:ascii="Calibri" w:cs="Calibri" w:eastAsia="Calibri" w:hAnsi="Calibri"/>
          <w:sz w:val="26"/>
          <w:szCs w:val="26"/>
        </w:rPr>
        <w:t xml:space="preserve">	</w:t>
      </w:r>
      <w:r>
        <w:rPr>
          <w:rFonts w:ascii="Calibri" w:cs="Calibri" w:eastAsia="Calibri" w:hAnsi="Calibri"/>
          <w:b/>
          <w:bCs/>
          <w:color w:val="28394A"/>
          <w:sz w:val="26"/>
          <w:szCs w:val="26"/>
        </w:rPr>
        <w:t xml:space="preserve">Arbejdsgiverens opsigelse af klausulen</w:t>
      </w:r>
    </w:p>
    <w:p>
      <w:pPr>
        <w:spacing w:after="120" w:line="288" w:lineRule="auto"/>
      </w:pPr>
      <w:r>
        <w:rPr>
          <w:rFonts w:ascii="Calibri" w:cs="Calibri" w:eastAsia="Calibri" w:hAnsi="Calibri"/>
          <w:color w:val="1C1917"/>
          <w:sz w:val="22"/>
          <w:szCs w:val="22"/>
        </w:rPr>
        <w:t xml:space="preserve">Arbejdsgiveren kan opsige klausulen med 1 måneds varsel til udgangen af en måned. Sker fratrædelsen mere end 3 måneder efter tiltrædelsen og inden 6 måneder efter opsigelsen af klausulen, skal arbejdsgiveren alligevel betale engangsbeløbet, hvis fratrædelsen skyldes forhold, der ville have gjort klausulen gældende.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Gengivet efter ansættelsesklausulloven § 10, stk. 1-2. Opsigelsen af klausulen bør ske skriftligt, så tidspunktet kan dokumenteres.</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Vil arbejdsgiveren opsige klausulen, bør det ske i god tid, før en eventuel afskedigelse. Opsigelse af en klausul efter en afskedigelse har givet tvister (fx Sø- og Handelsretten 2024, anket) - søg rådgivning i den situation.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10.</w:t>
      </w:r>
      <w:r>
        <w:rPr>
          <w:rFonts w:ascii="Calibri" w:cs="Calibri" w:eastAsia="Calibri" w:hAnsi="Calibri"/>
          <w:sz w:val="26"/>
          <w:szCs w:val="26"/>
        </w:rPr>
        <w:t xml:space="preserve">	</w:t>
      </w:r>
      <w:r>
        <w:rPr>
          <w:rFonts w:ascii="Calibri" w:cs="Calibri" w:eastAsia="Calibri" w:hAnsi="Calibri"/>
          <w:b/>
          <w:bCs/>
          <w:color w:val="28394A"/>
          <w:sz w:val="26"/>
          <w:szCs w:val="26"/>
        </w:rPr>
        <w:t xml:space="preserve">Bortfald og bortvisning</w:t>
      </w:r>
    </w:p>
    <w:p>
      <w:pPr>
        <w:spacing w:after="120" w:line="288" w:lineRule="auto"/>
      </w:pPr>
      <w:r>
        <w:rPr>
          <w:rFonts w:ascii="Calibri" w:cs="Calibri" w:eastAsia="Calibri" w:hAnsi="Calibri"/>
          <w:color w:val="1C1917"/>
          <w:sz w:val="22"/>
          <w:szCs w:val="22"/>
        </w:rPr>
        <w:t xml:space="preserve">Opsiges medarbejderen, uden at det er rimeligt begrundet i medarbejderens forhold, eller fratræder medarbejderen, fordi arbejdsgiveren har misligholdt ansættelsesforholdet, er en konkurrenceklausul og konkurrencedelen af en kombineret klausul ugyldig. Engangsbeløbet skal dog betales.</w:t>
      </w:r>
    </w:p>
    <w:p>
      <w:pPr>
        <w:spacing w:after="120" w:line="288" w:lineRule="auto"/>
      </w:pPr>
      <w:r>
        <w:rPr>
          <w:rFonts w:ascii="Calibri" w:cs="Calibri" w:eastAsia="Calibri" w:hAnsi="Calibri"/>
          <w:color w:val="1C1917"/>
          <w:sz w:val="22"/>
          <w:szCs w:val="22"/>
        </w:rPr>
        <w:t xml:space="preserve">Bortvises medarbejderen berettiget, kan arbejdsgiveren opretholde klausulen, men skal ikke betale kompensation.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Gengivet efter ansættelsesklausulloven § 11, stk. 1 og 4. Bemærk, at en usaglig opsigelse kun gør </w:t>
      </w:r>
      <w:r>
        <w:rPr>
          <w:rFonts w:ascii="Calibri" w:cs="Calibri" w:eastAsia="Calibri" w:hAnsi="Calibri"/>
          <w:b/>
          <w:bCs/>
          <w:color w:val="3F3A33"/>
          <w:sz w:val="19"/>
          <w:szCs w:val="19"/>
        </w:rPr>
        <w:t xml:space="preserve">konkurrenceklausulen</w:t>
      </w:r>
      <w:r>
        <w:rPr>
          <w:rFonts w:ascii="Calibri" w:cs="Calibri" w:eastAsia="Calibri" w:hAnsi="Calibri"/>
          <w:color w:val="3F3A33"/>
          <w:sz w:val="19"/>
          <w:szCs w:val="19"/>
        </w:rPr>
        <w:t xml:space="preserve"> ugyldig - en ren kundeklausul gælder fortsat.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Konventionalbod (valgfrit)</w:t>
      </w:r>
    </w:p>
    <w:p>
      <w:pPr>
        <w:spacing w:after="120" w:line="288" w:lineRule="auto"/>
      </w:pPr>
      <w:r>
        <w:rPr>
          <w:rFonts w:ascii="Calibri" w:cs="Calibri" w:eastAsia="Calibri" w:hAnsi="Calibri"/>
          <w:color w:val="1C1917"/>
          <w:sz w:val="22"/>
          <w:szCs w:val="22"/>
        </w:rPr>
        <w:t xml:space="preserve">Overtræder medarbejderen klausulen, betaler medarbejderen en konventionalbod på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for hver overtrædelse. Ved en vedvarende overtrædelse anses hver påbegyndt måned som en ny overtrædelse.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Betaling af konventionalbod udelukker ikke, at arbejdsgiveren kræver erstatning for et større tab eller nedlægger forbud mod overtrædelsen.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Konventionalboden er arbejdsgiverens eneste økonomiske krav ved en overtrædelse. Arbejdsgiveren kan dog nedlægge forbud.</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En konventionalbod gør det lettere at håndhæve klausulen, fordi tabet ikke skal bevises. Et urimeligt højt beløb kan nedsættes (aftaleloven § 36). Et niveau omkring nogle måneders løn er mere robust end et meget højt fast beløb.</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Skriftlig oplysning</w:t>
      </w:r>
    </w:p>
    <w:p>
      <w:pPr>
        <w:spacing w:after="120" w:line="288" w:lineRule="auto"/>
      </w:pPr>
      <w:r>
        <w:rPr>
          <w:rFonts w:ascii="Calibri" w:cs="Calibri" w:eastAsia="Calibri" w:hAnsi="Calibri"/>
          <w:color w:val="1C1917"/>
          <w:sz w:val="22"/>
          <w:szCs w:val="22"/>
        </w:rPr>
        <w:t xml:space="preserve">Medarbejderen bekræfter at have fået denne aftale udleveret skriftligt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herunder oplysningerne om klausultype, begrundelse, omfattede kunder, varighed og kompensation.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Kravet om skriftlige oplysninger er en gyldighedsbetingelse (§ 5, nr. 6, og § 6, stk. 1, nr. 5). Gem dokumentation for udleveringen sammen med ansættelseskontrakten.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Underskrifter</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For arbejdsgiveren</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Medarbejderen</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r>
    </w:tbl>
    <w:p>
      <w:pPr>
        <w:pageBreakBefore/>
      </w:pPr>
    </w:p>
    <w:p>
      <w:pPr>
        <w:keepNext/>
        <w:spacing w:after="80" w:before="220"/>
      </w:pPr>
      <w:r>
        <w:rPr>
          <w:rFonts w:ascii="Calibri" w:cs="Calibri" w:eastAsia="Calibri" w:hAnsi="Calibri"/>
          <w:b/>
          <w:bCs/>
          <w:color w:val="28394A"/>
          <w:sz w:val="22"/>
          <w:szCs w:val="22"/>
        </w:rPr>
        <w:t xml:space="preserve">Bilag: Kundeliste efter ansættelsesklausulloven § 6, stk. 2</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Medarbejder</w:t>
      </w:r>
      <w:r>
        <w:t xml:space="preserve">	</w:t>
      </w:r>
      <w:r>
        <w:rPr>
          <w:rFonts w:ascii="Calibri" w:cs="Calibri" w:eastAsia="Calibri" w:hAnsi="Calibri"/>
          <w:color w:val="1C1917"/>
          <w:sz w:val="22"/>
          <w:szCs w:val="22"/>
          <w:shd w:fill="E8E6E1" w:color="auto" w:val="clear"/>
        </w:rPr>
        <w:t xml:space="preserve">[Fulde 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Opsagt / sagt op den</w:t>
      </w:r>
      <w:r>
        <w:t xml:space="preserve">	</w:t>
      </w:r>
      <w:r>
        <w:rPr>
          <w:rFonts w:ascii="Calibri" w:cs="Calibri" w:eastAsia="Calibri" w:hAnsi="Calibri"/>
          <w:color w:val="1C1917"/>
          <w:sz w:val="22"/>
          <w:szCs w:val="22"/>
          <w:shd w:fill="E8E6E1" w:color="auto" w:val="clear"/>
        </w:rPr>
        <w:t xml:space="preserve">[Dato]</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Periode for forbindelse</w:t>
      </w:r>
      <w:r>
        <w:t xml:space="preserve">	</w:t>
      </w:r>
      <w:r>
        <w:rPr>
          <w:rFonts w:ascii="Calibri" w:cs="Calibri" w:eastAsia="Calibri" w:hAnsi="Calibri"/>
          <w:color w:val="1C1917"/>
          <w:sz w:val="22"/>
          <w:szCs w:val="22"/>
        </w:rPr>
        <w:t xml:space="preserve">Fra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til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(12 måneder før opsigelsen)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Listen udleveret den</w:t>
      </w:r>
      <w:r>
        <w:t xml:space="preserve">	</w:t>
      </w:r>
      <w:r>
        <w:rPr>
          <w:rFonts w:ascii="Calibri" w:cs="Calibri" w:eastAsia="Calibri" w:hAnsi="Calibri"/>
          <w:color w:val="1C1917"/>
          <w:sz w:val="22"/>
          <w:szCs w:val="22"/>
          <w:shd w:fill="E8E6E1" w:color="auto" w:val="clear"/>
        </w:rPr>
        <w:t xml:space="preserve">[Dato]</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721"/>
        <w:gridCol w:w="1814"/>
        <w:gridCol w:w="1814"/>
        <w:gridCol w:w="2721"/>
      </w:tblGrid>
      <w:tr>
        <w:trPr>
          <w:tblHeader/>
        </w:trPr>
        <w:tc>
          <w:tcPr>
            <w:tcW w:type="dxa" w:w="2721"/>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Kunde</w:t>
            </w:r>
          </w:p>
        </w:tc>
        <w:tc>
          <w:tcPr>
            <w:tcW w:type="dxa" w:w="181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CVR-nr.</w:t>
            </w:r>
          </w:p>
        </w:tc>
        <w:tc>
          <w:tcPr>
            <w:tcW w:type="dxa" w:w="181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Seneste forretningsmæssige kontakt</w:t>
            </w:r>
          </w:p>
        </w:tc>
        <w:tc>
          <w:tcPr>
            <w:tcW w:type="dxa" w:w="2721"/>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Kontaktperson hos kunden</w:t>
            </w:r>
          </w:p>
        </w:tc>
      </w:tr>
      <w:tr>
        <w:trPr>
          <w:cantSplit/>
        </w:trPr>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Listen skal kun omfatte kunder, som medarbejderen faktisk har haft forretningsmæssig forbindelse med inden for de seneste 12 måneder før opsigelsen eller afskedigelsen. Udarbejd den ud fra fx CRM, ordrehistorik og mødeaktivitet, og lad medarbejderen kvittere for modtagelsen. Kunder, der er undtaget under Kundeklausul, skal ikke stå på listen.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Modtaget af medarbejderen</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tc>
      </w:tr>
    </w:tbl>
    <w:sectPr>
      <w:headerReference w:type="default" r:id="rId10"/>
      <w:footerReference w:type="default" r:id="rId11"/>
      <w:pgSz w:w="11906" w:h="16838" w:orient="portrait"/>
      <w:pgMar w:top="1418" w:right="1418" w:bottom="1300" w:left="1418" w:header="560" w:footer="560"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F6B76"/>
        <w:sz w:val="15"/>
        <w:szCs w:val="15"/>
      </w:rPr>
      <w:t xml:space="preserve">Vejledning - slettes før brug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E1" w:sz="4" w:space="6"/>
      </w:pBdr>
      <w:tabs>
        <w:tab w:val="right" w:pos="9026"/>
      </w:tabs>
    </w:pPr>
    <w:r>
      <w:rPr>
        <w:rFonts w:ascii="Calibri" w:cs="Calibri" w:eastAsia="Calibri" w:hAnsi="Calibri"/>
        <w:color w:val="5F6B76"/>
        <w:sz w:val="15"/>
        <w:szCs w:val="15"/>
      </w:rPr>
      <w:t xml:space="preserve">Skabelon fra Lovguiden  ·  </w:t>
    </w:r>
    <w:hyperlink w:history="1" r:id="rIdttwtioe6nfvm_qs7lutyc">
      <w:r>
        <w:rPr>
          <w:rFonts w:ascii="Calibri" w:cs="Calibri" w:eastAsia="Calibri" w:hAnsi="Calibri"/>
          <w:color w:val="1E4FA3"/>
          <w:sz w:val="15"/>
          <w:szCs w:val="15"/>
          <w:u w:val="single"/>
        </w:rPr>
        <w:t xml:space="preserve">lovguiden.dk/praksisoversigt/ansaettelse/konkurrence-og-kundeklausul</w:t>
      </w:r>
    </w:hyperlink>
    <w:r>
      <w:rPr>
        <w:rFonts w:ascii="Calibri" w:cs="Calibri" w:eastAsia="Calibri" w:hAnsi="Calibri"/>
        <w:sz w:val="15"/>
        <w:szCs w:val="15"/>
      </w:rPr>
      <w:t xml:space="preserve">	</w:t>
    </w:r>
    <w:r>
      <w:rPr>
        <w:rFonts w:ascii="Calibri" w:cs="Calibri" w:eastAsia="Calibri" w:hAnsi="Calibri"/>
        <w:color w:val="5F6B76"/>
        <w:sz w:val="15"/>
        <w:szCs w:val="15"/>
      </w:rPr>
      <w:t xml:space="preserve">Side </w:t>
    </w:r>
    <w:r>
      <w:rPr>
        <w:rFonts w:ascii="Calibri" w:cs="Calibri" w:eastAsia="Calibri" w:hAnsi="Calibri"/>
        <w:color w:val="5F6B76"/>
        <w:sz w:val="15"/>
        <w:szCs w:val="15"/>
      </w:rPr>
      <w:fldChar w:fldCharType="begin"/>
    </w:r>
    <w:r>
      <w:rPr>
        <w:rFonts w:ascii="Calibri" w:cs="Calibri" w:eastAsia="Calibri" w:hAnsi="Calibri"/>
        <w:color w:val="5F6B76"/>
        <w:sz w:val="15"/>
        <w:szCs w:val="15"/>
      </w:rPr>
      <w:instrText xml:space="preserve">PAGE</w:instrText>
    </w:r>
    <w:r>
      <w:rPr>
        <w:rFonts w:ascii="Calibri" w:cs="Calibri" w:eastAsia="Calibri" w:hAnsi="Calibri"/>
        <w:color w:val="5F6B76"/>
        <w:sz w:val="15"/>
        <w:szCs w:val="15"/>
      </w:rPr>
      <w:fldChar w:fldCharType="separate"/>
    </w:r>
    <w:r>
      <w:rPr>
        <w:rFonts w:ascii="Calibri" w:cs="Calibri" w:eastAsia="Calibri" w:hAnsi="Calibri"/>
        <w:color w:val="5F6B7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5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b4ifk4aj5j5ntyxheeahy">
      <w:r>
        <w:rPr>
          <w:rFonts w:ascii="Calibri" w:cs="Calibri" w:eastAsia="Calibri" w:hAnsi="Calibri"/>
          <w:color w:val="1E4FA3"/>
          <w:sz w:val="16"/>
          <w:szCs w:val="16"/>
          <w:u w:val="single"/>
        </w:rPr>
        <w:t xml:space="preserve">www.lovguiden.dk</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5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59kdmnsg1_1ay8ouv3dvl">
      <w:r>
        <w:rPr>
          <w:rFonts w:ascii="Calibri" w:cs="Calibri" w:eastAsia="Calibri" w:hAnsi="Calibri"/>
          <w:color w:val="1E4FA3"/>
          <w:sz w:val="16"/>
          <w:szCs w:val="16"/>
          <w:u w:val="single"/>
        </w:rPr>
        <w:t xml:space="preserve">www.lovguiden.dk</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9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a1py97vqljrszxwdhsp9y" Type="http://schemas.openxmlformats.org/officeDocument/2006/relationships/hyperlink" Target="https://www.lovguiden.dk" TargetMode="External"/><Relationship Id="rIdhaaigoipxuqeg2klatunf" Type="http://schemas.openxmlformats.org/officeDocument/2006/relationships/hyperlink" Target="https://www.lovguiden.dk/praksisoversigt/ansaettelse/konkurrence-og-kundeklausul" TargetMode="External"/><Relationship Id="rIdin06ur2b5avthc8tc0jfc" Type="http://schemas.openxmlformats.org/officeDocument/2006/relationships/hyperlink" Target="https://www.lovguiden.dk/praksisoversigt/ansaettelse/konkurrence-og-kundeklausul" TargetMode="External"/><Relationship Id="rId16" Type="http://schemas.openxmlformats.org/officeDocument/2006/relationships/image" Target="media/e34fde046ec96b6137abb248ac26a17e8220ff7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Relationship Id="rIdttwtioe6nfvm_qs7lutyc" Type="http://schemas.openxmlformats.org/officeDocument/2006/relationships/hyperlink" Target="https://www.lovguiden.dk/praksisoversigt/ansaettelse/konkurrence-og-kundeklausul"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b4ifk4aj5j5ntyxheeahy"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_rels/header3.xml.rels><?xml version="1.0" encoding="UTF-8"?><Relationships xmlns="http://schemas.openxmlformats.org/package/2006/relationships"><Relationship Id="rId59kdmnsg1_1ay8ouv3dvl"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Aftale om konkurrence- og kundeklausul</dc:title>
  <dc:creator>Lovguiden</dc:creator>
  <cp:lastModifiedBy>Un-named</cp:lastModifiedBy>
  <cp:revision>1</cp:revision>
  <dcterms:created xsi:type="dcterms:W3CDTF">2026-10-27T14:06:20.677Z</dcterms:created>
  <dcterms:modified xsi:type="dcterms:W3CDTF">2026-10-27T14:06:20.677Z</dcterms:modified>
</cp:coreProperties>
</file>

<file path=docProps/custom.xml><?xml version="1.0" encoding="utf-8"?>
<Properties xmlns="http://schemas.openxmlformats.org/officeDocument/2006/custom-properties" xmlns:vt="http://schemas.openxmlformats.org/officeDocument/2006/docPropsVTypes"/>
</file>