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2190750" cy="600075"/>
            <wp:effectExtent t="0" r="0" b="0" l="0"/>
            <wp:docPr id="5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190750" cy="600075"/>
                    </a:xfrm>
                    <a:prstGeom prst="rect">
                      <a:avLst/>
                    </a:prstGeom>
                  </pic:spPr>
                </pic:pic>
              </a:graphicData>
            </a:graphic>
          </wp:inline>
        </w:drawing>
      </w:r>
    </w:p>
    <w:p>
      <w:pPr>
        <w:spacing w:after="160" w:before="2200"/>
      </w:pPr>
      <w:r>
        <w:rPr>
          <w:rFonts w:ascii="Calibri" w:cs="Calibri" w:eastAsia="Calibri" w:hAnsi="Calibri"/>
          <w:b/>
          <w:bCs/>
          <w:color w:val="9A7032"/>
          <w:spacing w:val="40"/>
          <w:sz w:val="17"/>
          <w:szCs w:val="17"/>
        </w:rPr>
        <w:t xml:space="preserve">SKABELON  ·  GDPR &amp; COMPLIANCE-DOKUMENTER</w:t>
      </w:r>
    </w:p>
    <w:p>
      <w:pPr>
        <w:spacing w:after="120" w:before="60" w:line="300" w:lineRule="auto"/>
      </w:pPr>
      <w:r>
        <w:rPr>
          <w:rFonts w:ascii="Calibri" w:cs="Calibri" w:eastAsia="Calibri" w:hAnsi="Calibri"/>
          <w:b/>
          <w:bCs/>
          <w:color w:val="28394A"/>
          <w:sz w:val="64"/>
          <w:szCs w:val="64"/>
        </w:rPr>
        <w:t xml:space="preserve">Konsekvensanalyse vedrørende databeskyttelse (DPIA)</w:t>
      </w:r>
    </w:p>
    <w:p>
      <w:pPr>
        <w:spacing w:after="200" w:line="288" w:lineRule="auto"/>
      </w:pPr>
      <w:r>
        <w:rPr>
          <w:rFonts w:ascii="Calibri" w:cs="Calibri" w:eastAsia="Calibri" w:hAnsi="Calibri"/>
          <w:color w:val="1C1917"/>
          <w:sz w:val="26"/>
          <w:szCs w:val="26"/>
          <w:shd w:fill="E8E6E1" w:color="auto" w:val="clear"/>
        </w:rPr>
        <w:t xml:space="preserve">[Behandlingens navn]</w:t>
      </w:r>
      <w:r>
        <w:rPr>
          <w:rFonts w:ascii="Calibri" w:cs="Calibri" w:eastAsia="Calibri" w:hAnsi="Calibri"/>
          <w:color w:val="5F6B76"/>
          <w:sz w:val="26"/>
          <w:szCs w:val="26"/>
        </w:rPr>
        <w:t xml:space="preserve"> - </w:t>
      </w:r>
      <w:r>
        <w:rPr>
          <w:rFonts w:ascii="Calibri" w:cs="Calibri" w:eastAsia="Calibri" w:hAnsi="Calibri"/>
          <w:color w:val="1C1917"/>
          <w:sz w:val="26"/>
          <w:szCs w:val="26"/>
          <w:shd w:fill="E8E6E1" w:color="auto" w:val="clear"/>
        </w:rPr>
        <w:t xml:space="preserve">[Organisationens navn]</w:t>
      </w:r>
    </w:p>
    <w:p>
      <w:pPr>
        <w:pBdr>
          <w:bottom w:val="single" w:color="9A7032" w:sz="16"/>
        </w:pBdr>
        <w:spacing w:after="280"/>
        <w:ind w:right="7600"/>
      </w:pPr>
    </w:p>
    <w:p>
      <w:pPr>
        <w:spacing w:after="480" w:line="288" w:lineRule="auto"/>
      </w:pPr>
      <w:r>
        <w:rPr>
          <w:rFonts w:ascii="Calibri" w:cs="Calibri" w:eastAsia="Calibri" w:hAnsi="Calibri"/>
          <w:color w:val="3F3A33"/>
          <w:sz w:val="23"/>
          <w:szCs w:val="23"/>
        </w:rPr>
        <w:t xml:space="preserve">En konsekvensanalyse (DPIA) skal laves, </w:t>
      </w:r>
      <w:r>
        <w:rPr>
          <w:rFonts w:ascii="Calibri" w:cs="Calibri" w:eastAsia="Calibri" w:hAnsi="Calibri"/>
          <w:b/>
          <w:bCs/>
          <w:color w:val="3F3A33"/>
          <w:sz w:val="23"/>
          <w:szCs w:val="23"/>
        </w:rPr>
        <w:t xml:space="preserve">før</w:t>
      </w:r>
      <w:r>
        <w:rPr>
          <w:rFonts w:ascii="Calibri" w:cs="Calibri" w:eastAsia="Calibri" w:hAnsi="Calibri"/>
          <w:color w:val="3F3A33"/>
          <w:sz w:val="23"/>
          <w:szCs w:val="23"/>
        </w:rPr>
        <w:t xml:space="preserve"> en behandling sættes i gang, hvis den sandsynligvis indebærer en høj risiko for de registreredes rettigheder (databeskyttelsesforordningens artikel 35, stk. 1). Den skal altid laves i de tre tilfælde i artikel 35, stk. 3, og ved behandlinger på Datatilsynets liste efter artikel 35, stk. 4.</w:t>
      </w:r>
    </w:p>
    <w:tbl>
      <w:tblPr>
        <w:tblW w:type="dxa" w:w="9070"/>
        <w:tblBorders>
          <w:top w:val="single" w:color="28394A" w:sz="8"/>
          <w:left w:val="none" w:color="FFFFFF" w:sz="0"/>
          <w:bottom w:val="single" w:color="D9DDE1" w:sz="4"/>
          <w:right w:val="none" w:color="FFFFFF" w:sz="0"/>
          <w:insideH w:val="single" w:color="D9DDE1" w:sz="4"/>
          <w:insideV w:val="none" w:color="FFFFFF" w:sz="0"/>
        </w:tblBorders>
      </w:tblPr>
      <w:tblGrid>
        <w:gridCol w:w="2400"/>
        <w:gridCol w:w="6670"/>
      </w:tblGrid>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Udgivet af</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Lovguiden  ·  </w:t>
            </w:r>
            <w:hyperlink w:history="1" r:id="rIdvnkphyf2qler00bn3f4qg">
              <w:r>
                <w:rPr>
                  <w:rFonts w:ascii="Calibri" w:cs="Calibri" w:eastAsia="Calibri" w:hAnsi="Calibri"/>
                  <w:color w:val="1E4FA3"/>
                  <w:sz w:val="20"/>
                  <w:szCs w:val="20"/>
                  <w:u w:val="single"/>
                </w:rPr>
                <w:t xml:space="preserve">www.lovguiden.dk</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Tilhørende guide</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hyperlink w:history="1" r:id="rIdjljrgbxeuvccimu5lkfwo">
              <w:r>
                <w:rPr>
                  <w:rFonts w:ascii="Calibri" w:cs="Calibri" w:eastAsia="Calibri" w:hAnsi="Calibri"/>
                  <w:color w:val="1E4FA3"/>
                  <w:sz w:val="20"/>
                  <w:szCs w:val="20"/>
                  <w:u w:val="single"/>
                </w:rPr>
                <w:t xml:space="preserve">lovguiden.dk/praksisoversigt/gdpr-og-compliance/konsekvensanalyse-dpia</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Version</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Oktober 2026</w:t>
            </w:r>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Format</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Redigerbar skabelon - udfyld felterne, og slet vejledningen</w:t>
            </w:r>
          </w:p>
        </w:tc>
      </w:tr>
    </w:tbl>
    <w:p>
      <w:pPr>
        <w:spacing w:after="120" w:before="480"/>
      </w:pPr>
      <w:r>
        <w:rPr>
          <w:rFonts w:ascii="Calibri" w:cs="Calibri" w:eastAsia="Calibri" w:hAnsi="Calibri"/>
          <w:b/>
          <w:bCs/>
          <w:color w:val="28394A"/>
          <w:spacing w:val="40"/>
          <w:sz w:val="17"/>
          <w:szCs w:val="17"/>
        </w:rPr>
        <w:t xml:space="preserve">SÅDAN BRUGES SKABELONEN</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2400"/>
        <w:gridCol w:w="6670"/>
      </w:tblGrid>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1C1917"/>
                <w:sz w:val="20"/>
                <w:szCs w:val="20"/>
                <w:shd w:fill="E8E6E1" w:color="auto" w:val="clear"/>
              </w:rPr>
              <w:t xml:space="preserve">[Navn]</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Grå felter i klammer udfyldes - fx navne, datoer og beløb.</w:t>
            </w:r>
          </w:p>
        </w:tc>
      </w:tr>
      <w:tr>
        <w:tc>
          <w:tcPr>
            <w:tcW w:type="dxa" w:w="2400"/>
            <w:tcBorders>
              <w:top w:val="none" w:color="FFFFFF" w:sz="0"/>
              <w:left w:val="single" w:color="C9A66B" w:sz="18"/>
              <w:bottom w:val="none" w:color="FFFFFF" w:sz="0"/>
              <w:right w:val="none" w:color="FFFFFF" w:sz="0"/>
            </w:tcBorders>
            <w:shd w:fill="F7F3EC" w:color="auto" w:val="clear"/>
            <w:tcMar>
              <w:top w:type="dxa" w:w="80"/>
              <w:left w:type="dxa" w:w="140"/>
              <w:bottom w:type="dxa" w:w="80"/>
              <w:right w:type="dxa" w:w="140"/>
            </w:tcMar>
            <w:vAlign w:val="center"/>
          </w:tcPr>
          <w:p>
            <w:r>
              <w:rPr>
                <w:rFonts w:ascii="Calibri" w:cs="Calibri" w:eastAsia="Calibri" w:hAnsi="Calibri"/>
                <w:b/>
                <w:bCs/>
                <w:color w:val="9A7032"/>
                <w:spacing w:val="30"/>
                <w:sz w:val="15"/>
                <w:szCs w:val="15"/>
              </w:rPr>
              <w:t xml:space="preserve">VEJLEDNING</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Tonede bokse er vejledning til jer og </w:t>
            </w:r>
            <w:r>
              <w:rPr>
                <w:rFonts w:ascii="Calibri" w:cs="Calibri" w:eastAsia="Calibri" w:hAnsi="Calibri"/>
                <w:b/>
                <w:bCs/>
                <w:color w:val="3F3A33"/>
                <w:sz w:val="19"/>
                <w:szCs w:val="19"/>
              </w:rPr>
              <w:t xml:space="preserve">slettes</w:t>
            </w:r>
            <w:r>
              <w:rPr>
                <w:rFonts w:ascii="Calibri" w:cs="Calibri" w:eastAsia="Calibri" w:hAnsi="Calibri"/>
                <w:color w:val="3F3A33"/>
                <w:sz w:val="19"/>
                <w:szCs w:val="19"/>
              </w:rPr>
              <w:t xml:space="preserve">, inden dokumentet bruges.</w:t>
            </w:r>
          </w:p>
        </w:tc>
      </w:tr>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28394A"/>
                <w:sz w:val="20"/>
                <w:szCs w:val="20"/>
              </w:rPr>
              <w:t xml:space="preserve">☐  Valgmulighed</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Vælg det, der passer, og slet resten. Afsnit, der ikke er relevante, kan slettes helt.</w:t>
            </w:r>
          </w:p>
        </w:tc>
      </w:tr>
    </w:tbl>
    <w:p>
      <w:pPr>
        <w:spacing w:after="0" w:before="480" w:line="288" w:lineRule="auto"/>
        <w:sectPr>
          <w:headerReference w:type="default" r:id="rId6"/>
          <w:footerReference w:type="default" r:id="rId7"/>
          <w:pgSz w:w="11906" w:h="16838" w:orient="portrait"/>
          <w:pgMar w:top="1100" w:right="1418" w:bottom="1300" w:left="1418" w:header="560" w:footer="560" w:gutter="0"/>
          <w:pgNumType/>
          <w:docGrid w:linePitch="360"/>
        </w:sectPr>
      </w:pPr>
      <w:r>
        <w:rPr>
          <w:rFonts w:ascii="Calibri" w:cs="Calibri" w:eastAsia="Calibri" w:hAnsi="Calibri"/>
          <w:i/>
          <w:iCs/>
          <w:color w:val="5F6B76"/>
          <w:sz w:val="16"/>
          <w:szCs w:val="16"/>
        </w:rPr>
        <w:t xml:space="preserve">Skabelonen er et udgangspunkt og ikke juridisk rådgivning. Lovgivningen kan være ændret siden udarbejdelsen - kontrollér reglerne, og søg rådgivning ved større eller usædvanlige forhold.</w:t>
      </w:r>
    </w:p>
    <w:p>
      <w:pPr>
        <w:spacing w:after="80" w:before="0"/>
      </w:pPr>
      <w:r>
        <w:rPr>
          <w:rFonts w:ascii="Calibri" w:cs="Calibri" w:eastAsia="Calibri" w:hAnsi="Calibri"/>
          <w:b/>
          <w:bCs/>
          <w:color w:val="9A7032"/>
          <w:spacing w:val="40"/>
          <w:sz w:val="17"/>
          <w:szCs w:val="17"/>
        </w:rPr>
        <w:t xml:space="preserve">SLETTES FØR BRUG</w:t>
      </w:r>
    </w:p>
    <w:p>
      <w:pPr>
        <w:spacing w:after="240"/>
      </w:pPr>
      <w:r>
        <w:rPr>
          <w:rFonts w:ascii="Calibri" w:cs="Calibri" w:eastAsia="Calibri" w:hAnsi="Calibri"/>
          <w:b/>
          <w:bCs/>
          <w:color w:val="28394A"/>
          <w:sz w:val="40"/>
          <w:szCs w:val="40"/>
        </w:rPr>
        <w:t xml:space="preserve">Før du går i gang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VIGTIGT AT VIDE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Start med </w:t>
      </w:r>
      <w:r>
        <w:rPr>
          <w:rFonts w:ascii="Calibri" w:cs="Calibri" w:eastAsia="Calibri" w:hAnsi="Calibri"/>
          <w:b/>
          <w:bCs/>
          <w:color w:val="3F3A33"/>
          <w:sz w:val="19"/>
          <w:szCs w:val="19"/>
        </w:rPr>
        <w:t xml:space="preserve">screeningen</w:t>
      </w:r>
      <w:r>
        <w:rPr>
          <w:rFonts w:ascii="Calibri" w:cs="Calibri" w:eastAsia="Calibri" w:hAnsi="Calibri"/>
          <w:color w:val="3F3A33"/>
          <w:sz w:val="19"/>
          <w:szCs w:val="19"/>
        </w:rPr>
        <w:t xml:space="preserve"> i afsnit 1. Viser den, at en DPIA ikke er påkrævet, så gem screeningen med begrundelse som dokumentation (artikel 5, stk. 2) og stop der. Ellers udfyldes resten.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Analysen skal mindst indeholde: en systematisk beskrivelse af behandlingen og formålene, en vurdering af nødvendighed og proportionalitet, en vurdering af risiciene for de registrerede og de foranstaltninger, der skal håndtere dem (artikel 35, stk. 7). Risici vurderes fra </w:t>
      </w:r>
      <w:r>
        <w:rPr>
          <w:rFonts w:ascii="Calibri" w:cs="Calibri" w:eastAsia="Calibri" w:hAnsi="Calibri"/>
          <w:b/>
          <w:bCs/>
          <w:color w:val="3F3A33"/>
          <w:sz w:val="19"/>
          <w:szCs w:val="19"/>
        </w:rPr>
        <w:t xml:space="preserve">de registreredes</w:t>
      </w:r>
      <w:r>
        <w:rPr>
          <w:rFonts w:ascii="Calibri" w:cs="Calibri" w:eastAsia="Calibri" w:hAnsi="Calibri"/>
          <w:color w:val="3F3A33"/>
          <w:sz w:val="19"/>
          <w:szCs w:val="19"/>
        </w:rPr>
        <w:t xml:space="preserve"> perspektiv - ikke organisationens.</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En it-sikkerhedsrisikovurdering efter artikel 32 er ikke en DPIA. Den mangler vurderingen af lovlighed, nødvendighed og proportionalitet. Leverandørens standard-DPIA kan bruges som input, men skal tilpasses jeres faktiske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Er restrisikoen stadig høj efter foranstaltningerne, skal Datatilsynet høres, før behandlingen begynder (artikel 36). Se afsnit 9.</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Faldgruber: DPIA laves efter go-live; risici vurderes kun én gang uden sammenligning før og efter foranstaltninger; uklar kobling mellem risiko og foranstaltning; screeningen dokumenteres ikke; DPIA opdateres ikke, når behandlingen ændres.</w:t>
      </w:r>
    </w:p>
    <w:p>
      <w:pPr>
        <w:spacing w:after="12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KILDER OG INSPIRATION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Databeskyttelsesforordningen (EU) 2016/679, artikel 5, 35 og 36 samt præambelbetragtning 84 og 89-94.</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Databeskyttelsesloven §§ 8 og 11.</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Datatilsynet, "Skabelon til konsekvensanalyse" (xlsx) og "Skabelon til konsekvensanalyse ved AI" (xlsx) samt Datatilsynets liste over behandlinger, der altid kræver en konsekvensanalyse - datatilsynet.dk/regler-og-vejledning/behandlingssikkerhed/konsekvensanalyse. Opbygning, punkterne 1.1-1.8 og 2.1-2.19 samt sandsynligheds- og konsekvensskalaen er gengivet i omskrevet form med kildeangivelse.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Artikel 29-gruppen/EDPB, WP248 rev.01, retningslinjer om konsekvensanalyse (de 9 kriterier og bilag 2).</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AI-forordningen (EU) 2024/1689, artikel 27 (konsekvensanalyse for grundlæggende rettigheder).</w:t>
      </w:r>
    </w:p>
    <w:p>
      <w:pPr>
        <w:spacing w:before="200"/>
        <w:sectPr>
          <w:headerReference w:type="default" r:id="rId8"/>
          <w:footerReference w:type="default" r:id="rId9"/>
          <w:pgSz w:w="11906" w:h="16838" w:orient="portrait"/>
          <w:pgMar w:top="1418" w:right="1418" w:bottom="1300" w:left="1418" w:header="560" w:footer="560" w:gutter="0"/>
          <w:pgNumType/>
          <w:docGrid w:linePitch="360"/>
        </w:sectPr>
      </w:pPr>
      <w:r>
        <w:rPr>
          <w:rFonts w:ascii="Calibri" w:cs="Calibri" w:eastAsia="Calibri" w:hAnsi="Calibri"/>
          <w:color w:val="1C1917"/>
          <w:sz w:val="20"/>
          <w:szCs w:val="20"/>
        </w:rPr>
        <w:t xml:space="preserve">Læs guiden med lovkrav, faldgruber og praksis: </w:t>
      </w:r>
      <w:hyperlink w:history="1" r:id="rIdyyj7pmqpvumaumf7uwda6">
        <w:r>
          <w:rPr>
            <w:rFonts w:ascii="Calibri" w:cs="Calibri" w:eastAsia="Calibri" w:hAnsi="Calibri"/>
            <w:color w:val="1E4FA3"/>
            <w:sz w:val="20"/>
            <w:szCs w:val="20"/>
            <w:u w:val="single"/>
          </w:rPr>
          <w:t xml:space="preserve">lovguiden.dk/praksisoversigt/gdpr-og-compliance/konsekvensanalyse-dpia</w:t>
        </w:r>
      </w:hyperlink>
    </w:p>
    <w:p>
      <w:pPr>
        <w:spacing w:after="80"/>
      </w:pPr>
      <w:r>
        <w:rPr>
          <w:rFonts w:ascii="Calibri" w:cs="Calibri" w:eastAsia="Calibri" w:hAnsi="Calibri"/>
          <w:b/>
          <w:bCs/>
          <w:color w:val="28394A"/>
          <w:sz w:val="44"/>
          <w:szCs w:val="44"/>
        </w:rPr>
        <w:t xml:space="preserve">Konsekvensanalyse vedrørende databeskyttelse (DPIA)</w:t>
      </w:r>
    </w:p>
    <w:p>
      <w:pPr>
        <w:spacing w:after="120" w:line="288" w:lineRule="auto"/>
      </w:pPr>
      <w:r>
        <w:rPr>
          <w:rFonts w:ascii="Calibri" w:cs="Calibri" w:eastAsia="Calibri" w:hAnsi="Calibri"/>
          <w:color w:val="1C1917"/>
          <w:sz w:val="22"/>
          <w:szCs w:val="22"/>
          <w:shd w:fill="E8E6E1" w:color="auto" w:val="clear"/>
        </w:rPr>
        <w:t xml:space="preserve">[Behandlingens navn]</w:t>
      </w:r>
      <w:r>
        <w:rPr>
          <w:rFonts w:ascii="Calibri" w:cs="Calibri" w:eastAsia="Calibri" w:hAnsi="Calibri"/>
          <w:color w:val="5F6B76"/>
          <w:sz w:val="22"/>
          <w:szCs w:val="22"/>
        </w:rPr>
        <w:t xml:space="preserve"> - </w:t>
      </w:r>
      <w:r>
        <w:rPr>
          <w:rFonts w:ascii="Calibri" w:cs="Calibri" w:eastAsia="Calibri" w:hAnsi="Calibri"/>
          <w:color w:val="1C1917"/>
          <w:sz w:val="22"/>
          <w:szCs w:val="22"/>
          <w:shd w:fill="E8E6E1" w:color="auto" w:val="clear"/>
        </w:rPr>
        <w:t xml:space="preserve">[Organisationens navn]</w:t>
      </w:r>
    </w:p>
    <w:p>
      <w:pPr>
        <w:pBdr>
          <w:bottom w:val="single" w:color="9A7032" w:sz="12"/>
        </w:pBdr>
        <w:spacing w:after="360"/>
        <w:ind w:right="7600"/>
      </w:pPr>
    </w:p>
    <w:p>
      <w:pPr>
        <w:keepNext/>
        <w:spacing w:after="80" w:before="220"/>
      </w:pPr>
      <w:r>
        <w:rPr>
          <w:rFonts w:ascii="Calibri" w:cs="Calibri" w:eastAsia="Calibri" w:hAnsi="Calibri"/>
          <w:b/>
          <w:bCs/>
          <w:color w:val="28394A"/>
          <w:sz w:val="22"/>
          <w:szCs w:val="22"/>
        </w:rPr>
        <w:t xml:space="preserve">Dokumentstyring</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Behandling</w:t>
      </w:r>
      <w:r>
        <w:t xml:space="preserve">	</w:t>
      </w:r>
      <w:r>
        <w:rPr>
          <w:rFonts w:ascii="Calibri" w:cs="Calibri" w:eastAsia="Calibri" w:hAnsi="Calibri"/>
          <w:color w:val="1C1917"/>
          <w:sz w:val="22"/>
          <w:szCs w:val="22"/>
          <w:shd w:fill="E8E6E1" w:color="auto" w:val="clear"/>
        </w:rPr>
        <w:t xml:space="preserve">[Navn på behandlingsaktiviteten / systemet]</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Dataansvarlig</w:t>
      </w:r>
      <w:r>
        <w:t xml:space="preserve">	</w:t>
      </w:r>
      <w:r>
        <w:rPr>
          <w:rFonts w:ascii="Calibri" w:cs="Calibri" w:eastAsia="Calibri" w:hAnsi="Calibri"/>
          <w:color w:val="1C1917"/>
          <w:sz w:val="22"/>
          <w:szCs w:val="22"/>
          <w:shd w:fill="E8E6E1" w:color="auto" w:val="clear"/>
        </w:rPr>
        <w:t xml:space="preserve">[Organisationens navn, CVR-nr.]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Ansvarlig for analysen</w:t>
      </w:r>
      <w:r>
        <w:t xml:space="preserve">	</w:t>
      </w:r>
      <w:r>
        <w:rPr>
          <w:rFonts w:ascii="Calibri" w:cs="Calibri" w:eastAsia="Calibri" w:hAnsi="Calibri"/>
          <w:color w:val="1C1917"/>
          <w:sz w:val="22"/>
          <w:szCs w:val="22"/>
          <w:shd w:fill="E8E6E1" w:color="auto" w:val="clear"/>
        </w:rPr>
        <w:t xml:space="preserve">[Navn, funktion]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Databeskyttelsesrådgiver</w:t>
      </w:r>
      <w:r>
        <w:t xml:space="preserve">	</w:t>
      </w:r>
      <w:r>
        <w:rPr>
          <w:rFonts w:ascii="Calibri" w:cs="Calibri" w:eastAsia="Calibri" w:hAnsi="Calibri"/>
          <w:color w:val="1C1917"/>
          <w:sz w:val="22"/>
          <w:szCs w:val="22"/>
          <w:shd w:fill="E8E6E1" w:color="auto" w:val="clear"/>
        </w:rPr>
        <w:t xml:space="preserve">[Navn - eller "ikke udpeget"]</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Version og dato</w:t>
      </w:r>
      <w:r>
        <w:t xml:space="preserve">	</w:t>
      </w:r>
      <w:r>
        <w:rPr>
          <w:rFonts w:ascii="Calibri" w:cs="Calibri" w:eastAsia="Calibri" w:hAnsi="Calibri"/>
          <w:color w:val="1C1917"/>
          <w:sz w:val="22"/>
          <w:szCs w:val="22"/>
          <w:shd w:fill="E8E6E1" w:color="auto" w:val="clear"/>
        </w:rPr>
        <w:t xml:space="preserve">[Version]</w:t>
      </w:r>
      <w:r>
        <w:rPr>
          <w:rFonts w:ascii="Calibri" w:cs="Calibri" w:eastAsia="Calibri" w:hAnsi="Calibri"/>
          <w:color w:val="1C1917"/>
          <w:sz w:val="22"/>
          <w:szCs w:val="22"/>
        </w:rPr>
        <w:t xml:space="preserve"> - </w:t>
      </w:r>
      <w:r>
        <w:rPr>
          <w:rFonts w:ascii="Calibri" w:cs="Calibri" w:eastAsia="Calibri" w:hAnsi="Calibri"/>
          <w:color w:val="1C1917"/>
          <w:sz w:val="22"/>
          <w:szCs w:val="22"/>
          <w:shd w:fill="E8E6E1" w:color="auto" w:val="clear"/>
        </w:rPr>
        <w:t xml:space="preserve">[Dato]</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Status</w:t>
      </w:r>
      <w:r>
        <w:t xml:space="preserve">	</w:t>
      </w:r>
      <w:r>
        <w:rPr>
          <w:rFonts w:ascii="Calibri" w:cs="Calibri" w:eastAsia="Calibri" w:hAnsi="Calibri"/>
          <w:color w:val="1C1917"/>
          <w:sz w:val="22"/>
          <w:szCs w:val="22"/>
          <w:shd w:fill="E8E6E1" w:color="auto" w:val="clear"/>
        </w:rPr>
        <w:t xml:space="preserve">[Udkast / til høring hos DPO / godkendt]</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Næste revision</w:t>
      </w:r>
      <w:r>
        <w:t xml:space="preserve">	</w:t>
      </w:r>
      <w:r>
        <w:rPr>
          <w:rFonts w:ascii="Calibri" w:cs="Calibri" w:eastAsia="Calibri" w:hAnsi="Calibri"/>
          <w:color w:val="1C1917"/>
          <w:sz w:val="22"/>
          <w:szCs w:val="22"/>
          <w:shd w:fill="E8E6E1" w:color="auto" w:val="clear"/>
        </w:rPr>
        <w:t xml:space="preserve">[Dato eller udløsende hændelse]</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Reference i fortegnelsen</w:t>
      </w:r>
      <w:r>
        <w:t xml:space="preserve">	</w:t>
      </w:r>
      <w:r>
        <w:rPr>
          <w:rFonts w:ascii="Calibri" w:cs="Calibri" w:eastAsia="Calibri" w:hAnsi="Calibri"/>
          <w:color w:val="1C1917"/>
          <w:sz w:val="22"/>
          <w:szCs w:val="22"/>
          <w:shd w:fill="E8E6E1" w:color="auto" w:val="clear"/>
        </w:rPr>
        <w:t xml:space="preserve">[Aktivitets-ID]</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Screening - er en konsekvensanalyse påkrævet?</w:t>
      </w:r>
    </w:p>
    <w:p>
      <w:pPr>
        <w:keepNext/>
        <w:spacing w:after="80" w:before="220"/>
      </w:pPr>
      <w:r>
        <w:rPr>
          <w:rFonts w:ascii="Calibri" w:cs="Calibri" w:eastAsia="Calibri" w:hAnsi="Calibri"/>
          <w:b/>
          <w:bCs/>
          <w:color w:val="28394A"/>
          <w:sz w:val="22"/>
          <w:szCs w:val="22"/>
        </w:rPr>
        <w:t xml:space="preserve">1.1 Obligatoriske tilfælde (artikel 35, stk. 3)</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Systematisk og omfattende vurdering af personlige forhold baseret på automatisk behandling, herunder profilering, som danner grundlag for afgørelser med retsvirkning eller tilsvarende betydelig virkning (litra a).</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Behandling i stort omfang af følsomme oplysninger (artikel 9) eller oplysninger om straffedomme og lovovertrædelser (artikel 10) (litra b).</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Systematisk overvågning af et offentligt tilgængeligt område i stort omfang (litra c).</w:t>
      </w:r>
    </w:p>
    <w:p>
      <w:pPr>
        <w:keepNext/>
        <w:spacing w:after="80" w:before="220"/>
      </w:pPr>
      <w:r>
        <w:rPr>
          <w:rFonts w:ascii="Calibri" w:cs="Calibri" w:eastAsia="Calibri" w:hAnsi="Calibri"/>
          <w:b/>
          <w:bCs/>
          <w:color w:val="28394A"/>
          <w:sz w:val="22"/>
          <w:szCs w:val="22"/>
        </w:rPr>
        <w:t xml:space="preserve">1.2 Datatilsynets liste (artikel 35, stk. 4)</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Behandlingen er omfattet af Datatilsynets liste. Punkt på listen: </w:t>
      </w:r>
      <w:r>
        <w:rPr>
          <w:rFonts w:ascii="Calibri" w:cs="Calibri" w:eastAsia="Calibri" w:hAnsi="Calibri"/>
          <w:color w:val="1C1917"/>
          <w:sz w:val="22"/>
          <w:szCs w:val="22"/>
          <w:shd w:fill="E8E6E1" w:color="auto" w:val="clear"/>
        </w:rPr>
        <w:t xml:space="preserve">[Angiv]</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Behandlingen er ikke omfattet af listen.</w:t>
      </w:r>
    </w:p>
    <w:p>
      <w:pPr>
        <w:keepNext/>
        <w:spacing w:after="80" w:before="220"/>
      </w:pPr>
      <w:r>
        <w:rPr>
          <w:rFonts w:ascii="Calibri" w:cs="Calibri" w:eastAsia="Calibri" w:hAnsi="Calibri"/>
          <w:b/>
          <w:bCs/>
          <w:color w:val="28394A"/>
          <w:sz w:val="22"/>
          <w:szCs w:val="22"/>
        </w:rPr>
        <w:t xml:space="preserve">1.3 De 9 kriterier fra WP248</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4724"/>
        <w:gridCol w:w="1512"/>
        <w:gridCol w:w="2834"/>
      </w:tblGrid>
      <w:tr>
        <w:trPr>
          <w:tblHeader/>
        </w:trPr>
        <w:tc>
          <w:tcPr>
            <w:tcW w:type="dxa" w:w="472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Kriterium</w:t>
            </w:r>
          </w:p>
        </w:tc>
        <w:tc>
          <w:tcPr>
            <w:tcW w:type="dxa" w:w="1512"/>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Opfyldt?</w:t>
            </w:r>
          </w:p>
        </w:tc>
        <w:tc>
          <w:tcPr>
            <w:tcW w:type="dxa" w:w="283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Begrundelse</w:t>
            </w:r>
          </w:p>
        </w:tc>
      </w:tr>
      <w:tr>
        <w:trPr>
          <w:cantSplit/>
        </w:trPr>
        <w:tc>
          <w:tcPr>
            <w:tcW w:type="dxa" w:w="472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1. Evaluering eller scoring, herunder profilering og forudsigelser</w:t>
            </w:r>
          </w:p>
        </w:tc>
        <w:tc>
          <w:tcPr>
            <w:tcW w:type="dxa" w:w="151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Ja  ☐ Nej</w:t>
            </w:r>
          </w:p>
        </w:tc>
        <w:tc>
          <w:tcPr>
            <w:tcW w:type="dxa" w:w="28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472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2. Automatiske afgørelser med retsvirkning eller tilsvarende betydelig virkning</w:t>
            </w:r>
          </w:p>
        </w:tc>
        <w:tc>
          <w:tcPr>
            <w:tcW w:type="dxa" w:w="151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Ja  ☐ Nej</w:t>
            </w:r>
          </w:p>
        </w:tc>
        <w:tc>
          <w:tcPr>
            <w:tcW w:type="dxa" w:w="28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472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3. Systematisk overvågning</w:t>
            </w:r>
          </w:p>
        </w:tc>
        <w:tc>
          <w:tcPr>
            <w:tcW w:type="dxa" w:w="151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Ja  ☐ Nej</w:t>
            </w:r>
          </w:p>
        </w:tc>
        <w:tc>
          <w:tcPr>
            <w:tcW w:type="dxa" w:w="28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472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4. Følsomme oplysninger eller oplysninger af meget personlig karakter</w:t>
            </w:r>
          </w:p>
        </w:tc>
        <w:tc>
          <w:tcPr>
            <w:tcW w:type="dxa" w:w="151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Ja  ☐ Nej</w:t>
            </w:r>
          </w:p>
        </w:tc>
        <w:tc>
          <w:tcPr>
            <w:tcW w:type="dxa" w:w="28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472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5. Behandling i stort omfang (antal registrerede, datamængde, varighed, geografi)</w:t>
            </w:r>
          </w:p>
        </w:tc>
        <w:tc>
          <w:tcPr>
            <w:tcW w:type="dxa" w:w="151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Ja  ☐ Nej</w:t>
            </w:r>
          </w:p>
        </w:tc>
        <w:tc>
          <w:tcPr>
            <w:tcW w:type="dxa" w:w="28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472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6. Sammenkobling eller kombination af datasæt</w:t>
            </w:r>
          </w:p>
        </w:tc>
        <w:tc>
          <w:tcPr>
            <w:tcW w:type="dxa" w:w="151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Ja  ☐ Nej</w:t>
            </w:r>
          </w:p>
        </w:tc>
        <w:tc>
          <w:tcPr>
            <w:tcW w:type="dxa" w:w="28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472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7. Oplysninger om sårbare registrerede (fx børn, medarbejdere, patienter, ældre)</w:t>
            </w:r>
          </w:p>
        </w:tc>
        <w:tc>
          <w:tcPr>
            <w:tcW w:type="dxa" w:w="151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Ja  ☐ Nej</w:t>
            </w:r>
          </w:p>
        </w:tc>
        <w:tc>
          <w:tcPr>
            <w:tcW w:type="dxa" w:w="28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472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8. Innovativ brug eller anvendelse af nye teknologiske løsninger (fx AI, biometri)</w:t>
            </w:r>
          </w:p>
        </w:tc>
        <w:tc>
          <w:tcPr>
            <w:tcW w:type="dxa" w:w="151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Ja  ☐ Nej</w:t>
            </w:r>
          </w:p>
        </w:tc>
        <w:tc>
          <w:tcPr>
            <w:tcW w:type="dxa" w:w="28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472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9. Behandlingen forhindrer de registrerede i at udøve en rettighed eller bruge en tjeneste eller kontrakt</w:t>
            </w:r>
          </w:p>
        </w:tc>
        <w:tc>
          <w:tcPr>
            <w:tcW w:type="dxa" w:w="151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Ja  ☐ Nej</w:t>
            </w:r>
          </w:p>
        </w:tc>
        <w:tc>
          <w:tcPr>
            <w:tcW w:type="dxa" w:w="28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Efter WP248 vil en behandling, der opfylder to eller flere kriterier, i de fleste tilfælde kræve en DPIA. Ét kriterium kan være nok, og to kriterier kan undtagelsesvis være uden høj risiko - så begrund konklusionen konkret. Medarbejdere regnes som sårbare registrerede pga. ulige magtforhold.</w:t>
      </w:r>
    </w:p>
    <w:p>
      <w:pPr>
        <w:keepNext/>
        <w:spacing w:after="80" w:before="220"/>
      </w:pPr>
      <w:r>
        <w:rPr>
          <w:rFonts w:ascii="Calibri" w:cs="Calibri" w:eastAsia="Calibri" w:hAnsi="Calibri"/>
          <w:b/>
          <w:bCs/>
          <w:color w:val="28394A"/>
          <w:sz w:val="22"/>
          <w:szCs w:val="22"/>
        </w:rPr>
        <w:t xml:space="preserve">1.4 Konklusion på screeningen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Konsekvensanalyse er påkrævet. Begrundelse: </w:t>
      </w:r>
      <w:r>
        <w:rPr>
          <w:rFonts w:ascii="Calibri" w:cs="Calibri" w:eastAsia="Calibri" w:hAnsi="Calibri"/>
          <w:color w:val="1C1917"/>
          <w:sz w:val="22"/>
          <w:szCs w:val="22"/>
          <w:shd w:fill="E8E6E1" w:color="auto" w:val="clear"/>
        </w:rPr>
        <w:t xml:space="preserve">[Begrundelse]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Konsekvensanalyse er ikke påkrævet. Begrundelse: </w:t>
      </w:r>
      <w:r>
        <w:rPr>
          <w:rFonts w:ascii="Calibri" w:cs="Calibri" w:eastAsia="Calibri" w:hAnsi="Calibri"/>
          <w:color w:val="1C1917"/>
          <w:sz w:val="22"/>
          <w:szCs w:val="22"/>
          <w:shd w:fill="E8E6E1" w:color="auto" w:val="clear"/>
        </w:rPr>
        <w:t xml:space="preserve">[Begrundelse]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Konsekvensanalyse er ikke påkrævet, men gennemføres frivilligt. Begrundelse: </w:t>
      </w:r>
      <w:r>
        <w:rPr>
          <w:rFonts w:ascii="Calibri" w:cs="Calibri" w:eastAsia="Calibri" w:hAnsi="Calibri"/>
          <w:color w:val="1C1917"/>
          <w:sz w:val="22"/>
          <w:szCs w:val="22"/>
          <w:shd w:fill="E8E6E1" w:color="auto" w:val="clear"/>
        </w:rPr>
        <w:t xml:space="preserve">[Begrundelse]</w:t>
      </w:r>
    </w:p>
    <w:p>
      <w:pPr>
        <w:spacing w:after="120" w:line="288" w:lineRule="auto"/>
      </w:pPr>
      <w:r>
        <w:rPr>
          <w:rFonts w:ascii="Calibri" w:cs="Calibri" w:eastAsia="Calibri" w:hAnsi="Calibri"/>
          <w:color w:val="1C1917"/>
          <w:sz w:val="22"/>
          <w:szCs w:val="22"/>
        </w:rPr>
        <w:t xml:space="preserve">Screenet af </w:t>
      </w:r>
      <w:r>
        <w:rPr>
          <w:rFonts w:ascii="Calibri" w:cs="Calibri" w:eastAsia="Calibri" w:hAnsi="Calibri"/>
          <w:color w:val="1C1917"/>
          <w:sz w:val="22"/>
          <w:szCs w:val="22"/>
          <w:shd w:fill="E8E6E1" w:color="auto" w:val="clear"/>
        </w:rPr>
        <w:t xml:space="preserve">[Navn]</w:t>
      </w:r>
      <w:r>
        <w:rPr>
          <w:rFonts w:ascii="Calibri" w:cs="Calibri" w:eastAsia="Calibri" w:hAnsi="Calibri"/>
          <w:color w:val="1C1917"/>
          <w:sz w:val="22"/>
          <w:szCs w:val="22"/>
        </w:rPr>
        <w:t xml:space="preserve">,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DPO er hørt: </w:t>
      </w:r>
      <w:r>
        <w:rPr>
          <w:rFonts w:ascii="Calibri" w:cs="Calibri" w:eastAsia="Calibri" w:hAnsi="Calibri"/>
          <w:color w:val="1C1917"/>
          <w:sz w:val="22"/>
          <w:szCs w:val="22"/>
          <w:shd w:fill="E8E6E1" w:color="auto" w:val="clear"/>
        </w:rPr>
        <w:t xml:space="preserve">[Ja / nej / ikke udpeget]</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Gem screeningen, også når svaret er nej. Den er jeres dokumentation for, at I har vurderet behovet.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Resumé</w:t>
      </w:r>
    </w:p>
    <w:p>
      <w:pPr>
        <w:spacing w:after="120" w:line="288" w:lineRule="auto"/>
      </w:pPr>
      <w:r>
        <w:rPr>
          <w:rFonts w:ascii="Calibri" w:cs="Calibri" w:eastAsia="Calibri" w:hAnsi="Calibri"/>
          <w:color w:val="1C1917"/>
          <w:sz w:val="22"/>
          <w:szCs w:val="22"/>
          <w:shd w:fill="E8E6E1" w:color="auto" w:val="clear"/>
        </w:rPr>
        <w:t xml:space="preserve">[Kort resumé til ledelsen: hvad behandlingen går ud på, de væsentligste risici for de registrerede, de vigtigste foranstaltninger, restrisikoen og om Datatilsynet skal høres.]</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Scope og afgrænsning</w:t>
      </w:r>
    </w:p>
    <w:p>
      <w:pPr>
        <w:spacing w:after="120" w:line="288" w:lineRule="auto"/>
      </w:pPr>
      <w:r>
        <w:rPr>
          <w:rFonts w:ascii="Calibri" w:cs="Calibri" w:eastAsia="Calibri" w:hAnsi="Calibri"/>
          <w:color w:val="1C1917"/>
          <w:sz w:val="22"/>
          <w:szCs w:val="22"/>
          <w:shd w:fill="E8E6E1" w:color="auto" w:val="clear"/>
        </w:rPr>
        <w:t xml:space="preserve">[Beskriv, hvilken behandling analysen dækker, og hvad den ikke dækker. Henvis til eksisterende risikovurderinger, hvis behandlingen bygger på eksisterende infrastruktur.]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Systematisk beskrivelse af behandlingen (artikel 35, stk. 7, litra a)</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780"/>
        <w:gridCol w:w="2438"/>
        <w:gridCol w:w="5852"/>
      </w:tblGrid>
      <w:tr>
        <w:trPr>
          <w:tblHeader/>
        </w:trPr>
        <w:tc>
          <w:tcPr>
            <w:tcW w:type="dxa" w:w="780"/>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ID</w:t>
            </w:r>
          </w:p>
        </w:tc>
        <w:tc>
          <w:tcPr>
            <w:tcW w:type="dxa" w:w="2438"/>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Emne</w:t>
            </w:r>
          </w:p>
        </w:tc>
        <w:tc>
          <w:tcPr>
            <w:tcW w:type="dxa" w:w="5852"/>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Beskrivelse</w:t>
            </w:r>
          </w:p>
        </w:tc>
      </w:tr>
      <w:tr>
        <w:trPr>
          <w:cantSplit/>
        </w:trPr>
        <w:tc>
          <w:tcPr>
            <w:tcW w:type="dxa" w:w="78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4.1</w:t>
            </w:r>
          </w:p>
        </w:tc>
        <w:tc>
          <w:tcPr>
            <w:tcW w:type="dxa" w:w="243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Formål og forventet effekt</w:t>
            </w:r>
          </w:p>
        </w:tc>
        <w:tc>
          <w:tcPr>
            <w:tcW w:type="dxa" w:w="585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[Hvilken forretningsproces understøttes, hvad ønskes opnået, og hvad er fordelene for de registrerede, organisationen og samfundet?]</w:t>
            </w:r>
          </w:p>
        </w:tc>
      </w:tr>
      <w:tr>
        <w:trPr>
          <w:cantSplit/>
        </w:trPr>
        <w:tc>
          <w:tcPr>
            <w:tcW w:type="dxa" w:w="78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4.2</w:t>
            </w:r>
          </w:p>
        </w:tc>
        <w:tc>
          <w:tcPr>
            <w:tcW w:type="dxa" w:w="243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Legitime interesser (hvis relevant)</w:t>
            </w:r>
          </w:p>
        </w:tc>
        <w:tc>
          <w:tcPr>
            <w:tcW w:type="dxa" w:w="585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[Hvilke legitime interesser forfølges?]</w:t>
            </w:r>
          </w:p>
        </w:tc>
      </w:tr>
      <w:tr>
        <w:trPr>
          <w:cantSplit/>
        </w:trPr>
        <w:tc>
          <w:tcPr>
            <w:tcW w:type="dxa" w:w="78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4.3</w:t>
            </w:r>
          </w:p>
        </w:tc>
        <w:tc>
          <w:tcPr>
            <w:tcW w:type="dxa" w:w="243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Datastrømme og typer af oplysninger</w:t>
            </w:r>
          </w:p>
        </w:tc>
        <w:tc>
          <w:tcPr>
            <w:tcW w:type="dxa" w:w="585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[Hvilke oplysninger, fra hvilke kilder, hvordan flyder de? Marker følsomme oplysninger, CPR-nr., strafbare forhold, lokationsdata, økonomi.]</w:t>
            </w:r>
          </w:p>
        </w:tc>
      </w:tr>
      <w:tr>
        <w:trPr>
          <w:cantSplit/>
        </w:trPr>
        <w:tc>
          <w:tcPr>
            <w:tcW w:type="dxa" w:w="78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4.4</w:t>
            </w:r>
          </w:p>
        </w:tc>
        <w:tc>
          <w:tcPr>
            <w:tcW w:type="dxa" w:w="243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Kategorier og antal registrerede</w:t>
            </w:r>
          </w:p>
        </w:tc>
        <w:tc>
          <w:tcPr>
            <w:tcW w:type="dxa" w:w="585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[Hvem, hvor mange ved start og på sigt? Omfatter det børn, patienter, medarbejdere eller andre sårbare grupper?]</w:t>
            </w:r>
          </w:p>
        </w:tc>
      </w:tr>
      <w:tr>
        <w:trPr>
          <w:cantSplit/>
        </w:trPr>
        <w:tc>
          <w:tcPr>
            <w:tcW w:type="dxa" w:w="78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4.5</w:t>
            </w:r>
          </w:p>
        </w:tc>
        <w:tc>
          <w:tcPr>
            <w:tcW w:type="dxa" w:w="243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Modtagere og leverandørkæde</w:t>
            </w:r>
          </w:p>
        </w:tc>
        <w:tc>
          <w:tcPr>
            <w:tcW w:type="dxa" w:w="585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[Hvem deles oplysningerne med? Databehandlere og underdatabehandlere?]</w:t>
            </w:r>
          </w:p>
        </w:tc>
      </w:tr>
      <w:tr>
        <w:trPr>
          <w:cantSplit/>
        </w:trPr>
        <w:tc>
          <w:tcPr>
            <w:tcW w:type="dxa" w:w="78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4.6</w:t>
            </w:r>
          </w:p>
        </w:tc>
        <w:tc>
          <w:tcPr>
            <w:tcW w:type="dxa" w:w="243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Systemer og aktiver</w:t>
            </w:r>
          </w:p>
        </w:tc>
        <w:tc>
          <w:tcPr>
            <w:tcW w:type="dxa" w:w="585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[Software, hardware, netværk, fysiske arkiver]</w:t>
            </w:r>
          </w:p>
        </w:tc>
      </w:tr>
      <w:tr>
        <w:trPr>
          <w:cantSplit/>
        </w:trPr>
        <w:tc>
          <w:tcPr>
            <w:tcW w:type="dxa" w:w="78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4.7</w:t>
            </w:r>
          </w:p>
        </w:tc>
        <w:tc>
          <w:tcPr>
            <w:tcW w:type="dxa" w:w="243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Opbevaring og sletning</w:t>
            </w:r>
          </w:p>
        </w:tc>
        <w:tc>
          <w:tcPr>
            <w:tcW w:type="dxa" w:w="585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[Hvor længe, og hvordan sikres sletning?]</w:t>
            </w:r>
          </w:p>
        </w:tc>
      </w:tr>
      <w:tr>
        <w:trPr>
          <w:cantSplit/>
        </w:trPr>
        <w:tc>
          <w:tcPr>
            <w:tcW w:type="dxa" w:w="78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4.8</w:t>
            </w:r>
          </w:p>
        </w:tc>
        <w:tc>
          <w:tcPr>
            <w:tcW w:type="dxa" w:w="243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Tredjelande</w:t>
            </w:r>
          </w:p>
        </w:tc>
        <w:tc>
          <w:tcPr>
            <w:tcW w:type="dxa" w:w="585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[Overføres eller tilgås oplysninger uden for EU/EØS?]</w:t>
            </w:r>
          </w:p>
        </w:tc>
      </w:tr>
      <w:tr>
        <w:trPr>
          <w:cantSplit/>
        </w:trPr>
        <w:tc>
          <w:tcPr>
            <w:tcW w:type="dxa" w:w="78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4.9</w:t>
            </w:r>
          </w:p>
        </w:tc>
        <w:tc>
          <w:tcPr>
            <w:tcW w:type="dxa" w:w="243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Kontekst</w:t>
            </w:r>
          </w:p>
        </w:tc>
        <w:tc>
          <w:tcPr>
            <w:tcW w:type="dxa" w:w="585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[Forholdet til de registrerede, deres rimelige forventninger og kontrol over egne oplysninger, offentlig bekymring, kendte sikkerhedsproblemer ved teknologien]</w:t>
            </w:r>
          </w:p>
        </w:tc>
      </w:tr>
    </w:tbl>
    <w:p>
      <w:pPr>
        <w:spacing w:after="16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Et simpelt dataflowdiagram (kilde → system → modtager → sletning) som bilag gør beskrivelsen meget lettere at kontrollere.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Lovlighed, nødvendighed og proportionalitet (artikel 35, stk. 7, litra b)</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3628"/>
        <w:gridCol w:w="2268"/>
        <w:gridCol w:w="3175"/>
      </w:tblGrid>
      <w:tr>
        <w:trPr>
          <w:tblHeader/>
        </w:trPr>
        <w:tc>
          <w:tcPr>
            <w:tcW w:type="dxa" w:w="3628"/>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Forpligtelse</w:t>
            </w:r>
          </w:p>
        </w:tc>
        <w:tc>
          <w:tcPr>
            <w:tcW w:type="dxa" w:w="2268"/>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Henvisning</w:t>
            </w:r>
          </w:p>
        </w:tc>
        <w:tc>
          <w:tcPr>
            <w:tcW w:type="dxa" w:w="3175"/>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Vurdering</w:t>
            </w:r>
          </w:p>
        </w:tc>
      </w:tr>
      <w:tr>
        <w:trPr>
          <w:cantSplit/>
        </w:trPr>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Behandlingsgrundlag</w:t>
            </w:r>
          </w:p>
        </w:tc>
        <w:tc>
          <w:tcPr>
            <w:tcW w:type="dxa" w:w="226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Art. 5, stk. 1, litra a, og art. 6</w:t>
            </w:r>
          </w:p>
        </w:tc>
        <w:tc>
          <w:tcPr>
            <w:tcW w:type="dxa" w:w="317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Undtagelse for følsomme oplysninger</w:t>
            </w:r>
          </w:p>
        </w:tc>
        <w:tc>
          <w:tcPr>
            <w:tcW w:type="dxa" w:w="226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Art. 9, stk. 2</w:t>
            </w:r>
          </w:p>
        </w:tc>
        <w:tc>
          <w:tcPr>
            <w:tcW w:type="dxa" w:w="317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Oplysninger om strafbare forhold</w:t>
            </w:r>
          </w:p>
        </w:tc>
        <w:tc>
          <w:tcPr>
            <w:tcW w:type="dxa" w:w="226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Art. 10 og databeskyttelseslovens § 8</w:t>
            </w:r>
          </w:p>
        </w:tc>
        <w:tc>
          <w:tcPr>
            <w:tcW w:type="dxa" w:w="317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CPR-nummer</w:t>
            </w:r>
          </w:p>
        </w:tc>
        <w:tc>
          <w:tcPr>
            <w:tcW w:type="dxa" w:w="226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Databeskyttelseslovens § 11</w:t>
            </w:r>
          </w:p>
        </w:tc>
        <w:tc>
          <w:tcPr>
            <w:tcW w:type="dxa" w:w="317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Formålsbegrænsning</w:t>
            </w:r>
          </w:p>
        </w:tc>
        <w:tc>
          <w:tcPr>
            <w:tcW w:type="dxa" w:w="226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Art. 5, stk. 1, litra b</w:t>
            </w:r>
          </w:p>
        </w:tc>
        <w:tc>
          <w:tcPr>
            <w:tcW w:type="dxa" w:w="317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Dataminimering og proportionalitet - kan formålet nås med færre data, pseudonymisering eller et mindre indgribende middel?</w:t>
            </w:r>
          </w:p>
        </w:tc>
        <w:tc>
          <w:tcPr>
            <w:tcW w:type="dxa" w:w="226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Art. 5, stk. 1, litra c</w:t>
            </w:r>
          </w:p>
        </w:tc>
        <w:tc>
          <w:tcPr>
            <w:tcW w:type="dxa" w:w="317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Rigtighed</w:t>
            </w:r>
          </w:p>
        </w:tc>
        <w:tc>
          <w:tcPr>
            <w:tcW w:type="dxa" w:w="226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Art. 5, stk. 1, litra d</w:t>
            </w:r>
          </w:p>
        </w:tc>
        <w:tc>
          <w:tcPr>
            <w:tcW w:type="dxa" w:w="317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Opbevaringsbegrænsning</w:t>
            </w:r>
          </w:p>
        </w:tc>
        <w:tc>
          <w:tcPr>
            <w:tcW w:type="dxa" w:w="226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Art. 5, stk. 1, litra e</w:t>
            </w:r>
          </w:p>
        </w:tc>
        <w:tc>
          <w:tcPr>
            <w:tcW w:type="dxa" w:w="317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Integritet, fortrolighed og behandlingssikkerhed</w:t>
            </w:r>
          </w:p>
        </w:tc>
        <w:tc>
          <w:tcPr>
            <w:tcW w:type="dxa" w:w="226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Art. 5, stk. 1, litra f, og art. 32</w:t>
            </w:r>
          </w:p>
        </w:tc>
        <w:tc>
          <w:tcPr>
            <w:tcW w:type="dxa" w:w="317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Håndtering af brud på persondatasikkerheden</w:t>
            </w:r>
          </w:p>
        </w:tc>
        <w:tc>
          <w:tcPr>
            <w:tcW w:type="dxa" w:w="226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Art. 33-34</w:t>
            </w:r>
          </w:p>
        </w:tc>
        <w:tc>
          <w:tcPr>
            <w:tcW w:type="dxa" w:w="317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Oplysningspligt</w:t>
            </w:r>
          </w:p>
        </w:tc>
        <w:tc>
          <w:tcPr>
            <w:tcW w:type="dxa" w:w="226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Art. 12-14</w:t>
            </w:r>
          </w:p>
        </w:tc>
        <w:tc>
          <w:tcPr>
            <w:tcW w:type="dxa" w:w="317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Indsigt, berigtigelse og sletning</w:t>
            </w:r>
          </w:p>
        </w:tc>
        <w:tc>
          <w:tcPr>
            <w:tcW w:type="dxa" w:w="226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Art. 15-17</w:t>
            </w:r>
          </w:p>
        </w:tc>
        <w:tc>
          <w:tcPr>
            <w:tcW w:type="dxa" w:w="317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Dataportabilitet</w:t>
            </w:r>
          </w:p>
        </w:tc>
        <w:tc>
          <w:tcPr>
            <w:tcW w:type="dxa" w:w="226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Art. 20</w:t>
            </w:r>
          </w:p>
        </w:tc>
        <w:tc>
          <w:tcPr>
            <w:tcW w:type="dxa" w:w="317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Indsigelse</w:t>
            </w:r>
          </w:p>
        </w:tc>
        <w:tc>
          <w:tcPr>
            <w:tcW w:type="dxa" w:w="226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Art. 21</w:t>
            </w:r>
          </w:p>
        </w:tc>
        <w:tc>
          <w:tcPr>
            <w:tcW w:type="dxa" w:w="317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Automatiske afgørelser og profilering</w:t>
            </w:r>
          </w:p>
        </w:tc>
        <w:tc>
          <w:tcPr>
            <w:tcW w:type="dxa" w:w="226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Art. 22</w:t>
            </w:r>
          </w:p>
        </w:tc>
        <w:tc>
          <w:tcPr>
            <w:tcW w:type="dxa" w:w="317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Databehandlere</w:t>
            </w:r>
          </w:p>
        </w:tc>
        <w:tc>
          <w:tcPr>
            <w:tcW w:type="dxa" w:w="226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Art. 28</w:t>
            </w:r>
          </w:p>
        </w:tc>
        <w:tc>
          <w:tcPr>
            <w:tcW w:type="dxa" w:w="317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Overførsel til tredjelande</w:t>
            </w:r>
          </w:p>
        </w:tc>
        <w:tc>
          <w:tcPr>
            <w:tcW w:type="dxa" w:w="226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Art. 44-49</w:t>
            </w:r>
          </w:p>
        </w:tc>
        <w:tc>
          <w:tcPr>
            <w:tcW w:type="dxa" w:w="317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Skriv en konkret vurdering i hver række - ikke kun "opfyldt". Er en forpligtelse ikke relevant, så skriv hvorfor. Mangler, der findes her, skal også med i risikoregistret i afsnit 7.</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6.</w:t>
      </w:r>
      <w:r>
        <w:rPr>
          <w:rFonts w:ascii="Calibri" w:cs="Calibri" w:eastAsia="Calibri" w:hAnsi="Calibri"/>
          <w:sz w:val="26"/>
          <w:szCs w:val="26"/>
        </w:rPr>
        <w:t xml:space="preserve">	</w:t>
      </w:r>
      <w:r>
        <w:rPr>
          <w:rFonts w:ascii="Calibri" w:cs="Calibri" w:eastAsia="Calibri" w:hAnsi="Calibri"/>
          <w:b/>
          <w:bCs/>
          <w:color w:val="28394A"/>
          <w:sz w:val="26"/>
          <w:szCs w:val="26"/>
        </w:rPr>
        <w:t xml:space="preserve">Risikokriterier</w:t>
      </w:r>
    </w:p>
    <w:p>
      <w:pPr>
        <w:keepNext/>
        <w:spacing w:after="80" w:before="220"/>
      </w:pPr>
      <w:r>
        <w:rPr>
          <w:rFonts w:ascii="Calibri" w:cs="Calibri" w:eastAsia="Calibri" w:hAnsi="Calibri"/>
          <w:b/>
          <w:bCs/>
          <w:color w:val="28394A"/>
          <w:sz w:val="22"/>
          <w:szCs w:val="22"/>
        </w:rPr>
        <w:t xml:space="preserve">Sandsynlighed</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2016"/>
        <w:gridCol w:w="7054"/>
      </w:tblGrid>
      <w:tr>
        <w:trPr>
          <w:tblHeader/>
        </w:trPr>
        <w:tc>
          <w:tcPr>
            <w:tcW w:type="dxa" w:w="2016"/>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Niveau</w:t>
            </w:r>
          </w:p>
        </w:tc>
        <w:tc>
          <w:tcPr>
            <w:tcW w:type="dxa" w:w="705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Beskrivelse</w:t>
            </w:r>
          </w:p>
        </w:tc>
      </w:tr>
      <w:tr>
        <w:trPr>
          <w:cantSplit/>
        </w:trPr>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1 - Usandsynligt</w:t>
            </w:r>
          </w:p>
        </w:tc>
        <w:tc>
          <w:tcPr>
            <w:tcW w:type="dxa" w:w="705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Hændelsen anses for næsten udelukket. Ingen erfaring med den, eller kendt fra ganske få, uafhængige tilfælde.</w:t>
            </w:r>
          </w:p>
        </w:tc>
      </w:tr>
      <w:tr>
        <w:trPr>
          <w:cantSplit/>
        </w:trPr>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2 - Mindre sandsynligt</w:t>
            </w:r>
          </w:p>
        </w:tc>
        <w:tc>
          <w:tcPr>
            <w:tcW w:type="dxa" w:w="705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Hændelsen forventes ikke at ske. Begrænset erfaring med den, men kendt fra andre virksomheder og myndigheder.</w:t>
            </w:r>
          </w:p>
        </w:tc>
      </w:tr>
      <w:tr>
        <w:trPr>
          <w:cantSplit/>
        </w:trPr>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3 - Sandsynligt</w:t>
            </w:r>
          </w:p>
        </w:tc>
        <w:tc>
          <w:tcPr>
            <w:tcW w:type="dxa" w:w="705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Hændelsen vil sandsynligvis ske. Set hos os, men ikke inden for de seneste 12 måneder, eller omtales årligt i pressen.</w:t>
            </w:r>
          </w:p>
        </w:tc>
      </w:tr>
      <w:tr>
        <w:trPr>
          <w:cantSplit/>
        </w:trPr>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4 - Forventet</w:t>
            </w:r>
          </w:p>
        </w:tc>
        <w:tc>
          <w:tcPr>
            <w:tcW w:type="dxa" w:w="705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Hændelsen forventes at ske. Set hos os inden for de seneste 12 måneder, eller sker jævnligt andre steder.</w:t>
            </w:r>
          </w:p>
        </w:tc>
      </w:tr>
    </w:tbl>
    <w:p>
      <w:pPr>
        <w:spacing w:after="160"/>
      </w:pPr>
    </w:p>
    <w:p>
      <w:pPr>
        <w:keepNext/>
        <w:spacing w:after="80" w:before="220"/>
      </w:pPr>
      <w:r>
        <w:rPr>
          <w:rFonts w:ascii="Calibri" w:cs="Calibri" w:eastAsia="Calibri" w:hAnsi="Calibri"/>
          <w:b/>
          <w:bCs/>
          <w:color w:val="28394A"/>
          <w:sz w:val="22"/>
          <w:szCs w:val="22"/>
        </w:rPr>
        <w:t xml:space="preserve">Konsekvens for de registrerede</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2016"/>
        <w:gridCol w:w="7054"/>
      </w:tblGrid>
      <w:tr>
        <w:trPr>
          <w:tblHeader/>
        </w:trPr>
        <w:tc>
          <w:tcPr>
            <w:tcW w:type="dxa" w:w="2016"/>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Niveau</w:t>
            </w:r>
          </w:p>
        </w:tc>
        <w:tc>
          <w:tcPr>
            <w:tcW w:type="dxa" w:w="705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Beskrivelse</w:t>
            </w:r>
          </w:p>
        </w:tc>
      </w:tr>
      <w:tr>
        <w:trPr>
          <w:cantSplit/>
        </w:trPr>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1 - Ubetydelig</w:t>
            </w:r>
          </w:p>
        </w:tc>
        <w:tc>
          <w:tcPr>
            <w:tcW w:type="dxa" w:w="705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Få gener, som let kan overkommes (fx tid brugt på at indtaste oplysninger igen, irritation).</w:t>
            </w:r>
          </w:p>
        </w:tc>
      </w:tr>
      <w:tr>
        <w:trPr>
          <w:cantSplit/>
        </w:trPr>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2 - Mindre alvorlig</w:t>
            </w:r>
          </w:p>
        </w:tc>
        <w:tc>
          <w:tcPr>
            <w:tcW w:type="dxa" w:w="705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Betydelige gener, som kan overkommes med en vis indsats (fx ekstra udgifter, stress, manglende adgang til en ydelse).</w:t>
            </w:r>
          </w:p>
        </w:tc>
      </w:tr>
      <w:tr>
        <w:trPr>
          <w:cantSplit/>
        </w:trPr>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3 - Meget alvorlig</w:t>
            </w:r>
          </w:p>
        </w:tc>
        <w:tc>
          <w:tcPr>
            <w:tcW w:type="dxa" w:w="705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Alvorlige følger, som kun kan overkommes med betydelig indsats (fx økonomisk tab, dårligere kreditværdighed, tab af arbejde, helbredsmæssige følger).</w:t>
            </w:r>
          </w:p>
        </w:tc>
      </w:tr>
      <w:tr>
        <w:trPr>
          <w:cantSplit/>
        </w:trPr>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4 - Ødelæggende</w:t>
            </w:r>
          </w:p>
        </w:tc>
        <w:tc>
          <w:tcPr>
            <w:tcW w:type="dxa" w:w="705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Alvorlige og indgribende følger, som ikke eller kun vanskeligt kan overkommes (fx varigt tab af erhvervsevne, langvarige fysiske eller psykiske følger, død).</w:t>
            </w:r>
          </w:p>
        </w:tc>
      </w:tr>
    </w:tbl>
    <w:p>
      <w:pPr>
        <w:spacing w:after="160"/>
      </w:pPr>
    </w:p>
    <w:p>
      <w:pPr>
        <w:keepNext/>
        <w:spacing w:after="80" w:before="220"/>
      </w:pPr>
      <w:r>
        <w:rPr>
          <w:rFonts w:ascii="Calibri" w:cs="Calibri" w:eastAsia="Calibri" w:hAnsi="Calibri"/>
          <w:b/>
          <w:bCs/>
          <w:color w:val="28394A"/>
          <w:sz w:val="22"/>
          <w:szCs w:val="22"/>
        </w:rPr>
        <w:t xml:space="preserve">Risikomatrix (konsekvens × sandsynlighed)</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2620"/>
        <w:gridCol w:w="1612"/>
        <w:gridCol w:w="1612"/>
        <w:gridCol w:w="1612"/>
        <w:gridCol w:w="1612"/>
      </w:tblGrid>
      <w:tr>
        <w:trPr>
          <w:tblHeader/>
        </w:trPr>
        <w:tc>
          <w:tcPr>
            <w:tcW w:type="dxa" w:w="2620"/>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Konsekvens \ Sandsynlighed</w:t>
            </w:r>
          </w:p>
        </w:tc>
        <w:tc>
          <w:tcPr>
            <w:tcW w:type="dxa" w:w="1612"/>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1 Usandsynligt</w:t>
            </w:r>
          </w:p>
        </w:tc>
        <w:tc>
          <w:tcPr>
            <w:tcW w:type="dxa" w:w="1612"/>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2 Mindre sandsynligt</w:t>
            </w:r>
          </w:p>
        </w:tc>
        <w:tc>
          <w:tcPr>
            <w:tcW w:type="dxa" w:w="1612"/>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3 Sandsynligt</w:t>
            </w:r>
          </w:p>
        </w:tc>
        <w:tc>
          <w:tcPr>
            <w:tcW w:type="dxa" w:w="1612"/>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4 Forventet</w:t>
            </w:r>
          </w:p>
        </w:tc>
      </w:tr>
      <w:tr>
        <w:trPr>
          <w:cantSplit/>
        </w:trPr>
        <w:tc>
          <w:tcPr>
            <w:tcW w:type="dxa" w:w="262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4 Ødelæggende</w:t>
            </w:r>
          </w:p>
        </w:tc>
        <w:tc>
          <w:tcPr>
            <w:tcW w:type="dxa" w:w="161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Høj</w:t>
            </w:r>
          </w:p>
        </w:tc>
        <w:tc>
          <w:tcPr>
            <w:tcW w:type="dxa" w:w="161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Meget høj</w:t>
            </w:r>
          </w:p>
        </w:tc>
        <w:tc>
          <w:tcPr>
            <w:tcW w:type="dxa" w:w="161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Meget høj</w:t>
            </w:r>
          </w:p>
        </w:tc>
        <w:tc>
          <w:tcPr>
            <w:tcW w:type="dxa" w:w="161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Meget høj</w:t>
            </w:r>
          </w:p>
        </w:tc>
      </w:tr>
      <w:tr>
        <w:trPr>
          <w:cantSplit/>
        </w:trPr>
        <w:tc>
          <w:tcPr>
            <w:tcW w:type="dxa" w:w="262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3 Meget alvorlig</w:t>
            </w:r>
          </w:p>
        </w:tc>
        <w:tc>
          <w:tcPr>
            <w:tcW w:type="dxa" w:w="161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Mellem</w:t>
            </w:r>
          </w:p>
        </w:tc>
        <w:tc>
          <w:tcPr>
            <w:tcW w:type="dxa" w:w="161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Høj</w:t>
            </w:r>
          </w:p>
        </w:tc>
        <w:tc>
          <w:tcPr>
            <w:tcW w:type="dxa" w:w="161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Høj</w:t>
            </w:r>
          </w:p>
        </w:tc>
        <w:tc>
          <w:tcPr>
            <w:tcW w:type="dxa" w:w="161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Meget høj</w:t>
            </w:r>
          </w:p>
        </w:tc>
      </w:tr>
      <w:tr>
        <w:trPr>
          <w:cantSplit/>
        </w:trPr>
        <w:tc>
          <w:tcPr>
            <w:tcW w:type="dxa" w:w="262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2 Mindre alvorlig</w:t>
            </w:r>
          </w:p>
        </w:tc>
        <w:tc>
          <w:tcPr>
            <w:tcW w:type="dxa" w:w="161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Lav</w:t>
            </w:r>
          </w:p>
        </w:tc>
        <w:tc>
          <w:tcPr>
            <w:tcW w:type="dxa" w:w="161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Mellem</w:t>
            </w:r>
          </w:p>
        </w:tc>
        <w:tc>
          <w:tcPr>
            <w:tcW w:type="dxa" w:w="161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Høj</w:t>
            </w:r>
          </w:p>
        </w:tc>
        <w:tc>
          <w:tcPr>
            <w:tcW w:type="dxa" w:w="161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Høj</w:t>
            </w:r>
          </w:p>
        </w:tc>
      </w:tr>
      <w:tr>
        <w:trPr>
          <w:cantSplit/>
        </w:trPr>
        <w:tc>
          <w:tcPr>
            <w:tcW w:type="dxa" w:w="262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1 Ubetydelig</w:t>
            </w:r>
          </w:p>
        </w:tc>
        <w:tc>
          <w:tcPr>
            <w:tcW w:type="dxa" w:w="161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Lav</w:t>
            </w:r>
          </w:p>
        </w:tc>
        <w:tc>
          <w:tcPr>
            <w:tcW w:type="dxa" w:w="161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Lav</w:t>
            </w:r>
          </w:p>
        </w:tc>
        <w:tc>
          <w:tcPr>
            <w:tcW w:type="dxa" w:w="161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Mellem</w:t>
            </w:r>
          </w:p>
        </w:tc>
        <w:tc>
          <w:tcPr>
            <w:tcW w:type="dxa" w:w="161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Høj</w:t>
            </w:r>
          </w:p>
        </w:tc>
      </w:tr>
    </w:tbl>
    <w:p>
      <w:pPr>
        <w:spacing w:after="16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Skalaen og matricen svarer til Datatilsynets skabelon. I kan bruge jeres egen skala, men den skal være beskrevet og anvendes ens i hele analysen. Fastsæt på forhånd, hvilket niveau der er acceptabelt som restrisiko (typisk "Lav" eller "Mellem").</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7.</w:t>
      </w:r>
      <w:r>
        <w:rPr>
          <w:rFonts w:ascii="Calibri" w:cs="Calibri" w:eastAsia="Calibri" w:hAnsi="Calibri"/>
          <w:sz w:val="26"/>
          <w:szCs w:val="26"/>
        </w:rPr>
        <w:t xml:space="preserve">	</w:t>
      </w:r>
      <w:r>
        <w:rPr>
          <w:rFonts w:ascii="Calibri" w:cs="Calibri" w:eastAsia="Calibri" w:hAnsi="Calibri"/>
          <w:b/>
          <w:bCs/>
          <w:color w:val="28394A"/>
          <w:sz w:val="26"/>
          <w:szCs w:val="26"/>
        </w:rPr>
        <w:t xml:space="preserve">Risikoregister (artikel 35, stk. 7, litra c og d)</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534"/>
        <w:gridCol w:w="2668"/>
        <w:gridCol w:w="1156"/>
        <w:gridCol w:w="2134"/>
        <w:gridCol w:w="1156"/>
        <w:gridCol w:w="1423"/>
      </w:tblGrid>
      <w:tr>
        <w:trPr>
          <w:tblHeader/>
        </w:trPr>
        <w:tc>
          <w:tcPr>
            <w:tcW w:type="dxa" w:w="53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ID</w:t>
            </w:r>
          </w:p>
        </w:tc>
        <w:tc>
          <w:tcPr>
            <w:tcW w:type="dxa" w:w="2668"/>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Risikoområde og konkret scenarie set fra den registrerede</w:t>
            </w:r>
          </w:p>
        </w:tc>
        <w:tc>
          <w:tcPr>
            <w:tcW w:type="dxa" w:w="1156"/>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Før: S / K = iboende risiko</w:t>
            </w:r>
          </w:p>
        </w:tc>
        <w:tc>
          <w:tcPr>
            <w:tcW w:type="dxa" w:w="213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Foranstaltning(er)</w:t>
            </w:r>
          </w:p>
        </w:tc>
        <w:tc>
          <w:tcPr>
            <w:tcW w:type="dxa" w:w="1156"/>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Efter: S / K = restrisiko</w:t>
            </w:r>
          </w:p>
        </w:tc>
        <w:tc>
          <w:tcPr>
            <w:tcW w:type="dxa" w:w="1423"/>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Ejer, status, frist</w:t>
            </w:r>
          </w:p>
        </w:tc>
      </w:tr>
      <w:tr>
        <w:trPr>
          <w:cantSplit/>
        </w:trPr>
        <w:tc>
          <w:tcPr>
            <w:tcW w:type="dxa" w:w="5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R1</w:t>
            </w:r>
          </w:p>
        </w:tc>
        <w:tc>
          <w:tcPr>
            <w:tcW w:type="dxa" w:w="266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[Uautoriseret adgang: fx kollega uden arbejdsbetinget behov ser helbredsoplysninger]</w:t>
            </w:r>
          </w:p>
        </w:tc>
        <w:tc>
          <w:tcPr>
            <w:tcW w:type="dxa" w:w="115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[3 / 3 = Høj]</w:t>
            </w:r>
          </w:p>
        </w:tc>
        <w:tc>
          <w:tcPr>
            <w:tcW w:type="dxa" w:w="21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rollebaseret adgang, logning, stikprøvekontrol]</w:t>
            </w:r>
          </w:p>
        </w:tc>
        <w:tc>
          <w:tcPr>
            <w:tcW w:type="dxa" w:w="115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[2 / 3 = Høj]</w:t>
            </w:r>
          </w:p>
        </w:tc>
        <w:tc>
          <w:tcPr>
            <w:tcW w:type="dxa" w:w="14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[Navn, i gang, dato]</w:t>
            </w:r>
          </w:p>
        </w:tc>
      </w:tr>
      <w:tr>
        <w:trPr>
          <w:cantSplit/>
        </w:trPr>
        <w:tc>
          <w:tcPr>
            <w:tcW w:type="dxa" w:w="5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R2</w:t>
            </w:r>
          </w:p>
        </w:tc>
        <w:tc>
          <w:tcPr>
            <w:tcW w:type="dxa" w:w="266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[Uønsket ændring eller fejl i oplysninger]</w:t>
            </w:r>
          </w:p>
        </w:tc>
        <w:tc>
          <w:tcPr>
            <w:tcW w:type="dxa" w:w="115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1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15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4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5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R3</w:t>
            </w:r>
          </w:p>
        </w:tc>
        <w:tc>
          <w:tcPr>
            <w:tcW w:type="dxa" w:w="266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[Tab af oplysninger]</w:t>
            </w:r>
          </w:p>
        </w:tc>
        <w:tc>
          <w:tcPr>
            <w:tcW w:type="dxa" w:w="115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1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15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4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5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R4</w:t>
            </w:r>
          </w:p>
        </w:tc>
        <w:tc>
          <w:tcPr>
            <w:tcW w:type="dxa" w:w="266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[Diskrimination eller forkerte afgørelser]</w:t>
            </w:r>
          </w:p>
        </w:tc>
        <w:tc>
          <w:tcPr>
            <w:tcW w:type="dxa" w:w="115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1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15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4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5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R5</w:t>
            </w:r>
          </w:p>
        </w:tc>
        <w:tc>
          <w:tcPr>
            <w:tcW w:type="dxa" w:w="266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[Manglende gennemsigtighed]</w:t>
            </w:r>
          </w:p>
        </w:tc>
        <w:tc>
          <w:tcPr>
            <w:tcW w:type="dxa" w:w="115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1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15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4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5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R6</w:t>
            </w:r>
          </w:p>
        </w:tc>
        <w:tc>
          <w:tcPr>
            <w:tcW w:type="dxa" w:w="266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[Behandling ud over formålet eller for lang opbevaring]</w:t>
            </w:r>
          </w:p>
        </w:tc>
        <w:tc>
          <w:tcPr>
            <w:tcW w:type="dxa" w:w="115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1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15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4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5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66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15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1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15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4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5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66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15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1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15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42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S = sandsynlighed, K = konsekvens (1-4). Beskriv scenariet konkret: hvad kan gå galt, og hvad betyder det for den registrerede? Hver foranstaltning skal kunne kobles til den risiko, den nedbringer, og angive om den er gennemført eller planlagt. Overvej også risici, der ikke er sikkerhedsbrud: fejlagtige afgørelser, overvågningseffekt, manglende mulighed for at gøre indsigelse.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8.</w:t>
      </w:r>
      <w:r>
        <w:rPr>
          <w:rFonts w:ascii="Calibri" w:cs="Calibri" w:eastAsia="Calibri" w:hAnsi="Calibri"/>
          <w:sz w:val="26"/>
          <w:szCs w:val="26"/>
        </w:rPr>
        <w:t xml:space="preserve">	</w:t>
      </w:r>
      <w:r>
        <w:rPr>
          <w:rFonts w:ascii="Calibri" w:cs="Calibri" w:eastAsia="Calibri" w:hAnsi="Calibri"/>
          <w:b/>
          <w:bCs/>
          <w:color w:val="28394A"/>
          <w:sz w:val="26"/>
          <w:szCs w:val="26"/>
        </w:rPr>
        <w:t xml:space="preserve">Inddragelse af interessenter</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3527"/>
        <w:gridCol w:w="5543"/>
      </w:tblGrid>
      <w:tr>
        <w:trPr>
          <w:tblHeader/>
        </w:trPr>
        <w:tc>
          <w:tcPr>
            <w:tcW w:type="dxa" w:w="3527"/>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Interessent</w:t>
            </w:r>
          </w:p>
        </w:tc>
        <w:tc>
          <w:tcPr>
            <w:tcW w:type="dxa" w:w="5543"/>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Synspunkter og håndtering</w:t>
            </w:r>
          </w:p>
        </w:tc>
      </w:tr>
      <w:tr>
        <w:trPr>
          <w:cantSplit/>
        </w:trPr>
        <w:tc>
          <w:tcPr>
            <w:tcW w:type="dxa" w:w="352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Databeskyttelsesrådgiverens råd (art. 35, stk. 2)</w:t>
            </w:r>
          </w:p>
        </w:tc>
        <w:tc>
          <w:tcPr>
            <w:tcW w:type="dxa" w:w="554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[Rådgivning givet den (dato). Synspunkter. Er rådene fulgt? Hvis ikke: begrundelse.]</w:t>
            </w:r>
          </w:p>
        </w:tc>
      </w:tr>
      <w:tr>
        <w:trPr>
          <w:cantSplit/>
        </w:trPr>
        <w:tc>
          <w:tcPr>
            <w:tcW w:type="dxa" w:w="352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De registrerede eller deres repræsentanter (art. 35, stk. 9)</w:t>
            </w:r>
          </w:p>
        </w:tc>
        <w:tc>
          <w:tcPr>
            <w:tcW w:type="dxa" w:w="554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[Hvordan er synspunkter indhentet, fx via tillidsrepræsentant, samarbejdsudvalg, brugerpanel eller undersøgelse? Er det fravalgt: begrundelse.]</w:t>
            </w:r>
          </w:p>
        </w:tc>
      </w:tr>
      <w:tr>
        <w:trPr>
          <w:cantSplit/>
        </w:trPr>
        <w:tc>
          <w:tcPr>
            <w:tcW w:type="dxa" w:w="352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Godkendte adfærdskodekser (art. 35, stk. 8)</w:t>
            </w:r>
          </w:p>
        </w:tc>
        <w:tc>
          <w:tcPr>
            <w:tcW w:type="dxa" w:w="554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[Kodeks, der er fulgt - eller "ingen"]</w:t>
            </w:r>
          </w:p>
        </w:tc>
      </w:tr>
      <w:tr>
        <w:trPr>
          <w:cantSplit/>
        </w:trPr>
        <w:tc>
          <w:tcPr>
            <w:tcW w:type="dxa" w:w="352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Andre (fx informationssikkerhed, leverandør, fagområde)</w:t>
            </w:r>
          </w:p>
        </w:tc>
        <w:tc>
          <w:tcPr>
            <w:tcW w:type="dxa" w:w="554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[Synspunkter]</w:t>
            </w:r>
          </w:p>
        </w:tc>
      </w:tr>
    </w:tbl>
    <w:p>
      <w:pPr>
        <w:spacing w:after="160"/>
      </w:pP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9.</w:t>
      </w:r>
      <w:r>
        <w:rPr>
          <w:rFonts w:ascii="Calibri" w:cs="Calibri" w:eastAsia="Calibri" w:hAnsi="Calibri"/>
          <w:sz w:val="26"/>
          <w:szCs w:val="26"/>
        </w:rPr>
        <w:t xml:space="preserve">	</w:t>
      </w:r>
      <w:r>
        <w:rPr>
          <w:rFonts w:ascii="Calibri" w:cs="Calibri" w:eastAsia="Calibri" w:hAnsi="Calibri"/>
          <w:b/>
          <w:bCs/>
          <w:color w:val="28394A"/>
          <w:sz w:val="26"/>
          <w:szCs w:val="26"/>
        </w:rPr>
        <w:t xml:space="preserve">Konklusion og forudgående høring</w:t>
      </w:r>
    </w:p>
    <w:p>
      <w:pPr>
        <w:spacing w:after="120" w:line="288" w:lineRule="auto"/>
      </w:pPr>
      <w:r>
        <w:rPr>
          <w:rFonts w:ascii="Calibri" w:cs="Calibri" w:eastAsia="Calibri" w:hAnsi="Calibri"/>
          <w:color w:val="1C1917"/>
          <w:sz w:val="22"/>
          <w:szCs w:val="22"/>
        </w:rPr>
        <w:t xml:space="preserve">Samlet restrisiko for de registrerede efter foranstaltningerne: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Acceptabel. Behandlingen kan iværksættes, når foranstaltningerne i afsnit 7 er gennemført.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Høj. Datatilsynet skal høres, før behandlingen iværksættes (artikel 36, stk. 1).</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Behandlingen iværksættes ikke i den beskrevne form.</w:t>
      </w:r>
    </w:p>
    <w:p>
      <w:pPr>
        <w:spacing w:after="120" w:line="288" w:lineRule="auto"/>
      </w:pPr>
      <w:r>
        <w:rPr>
          <w:rFonts w:ascii="Calibri" w:cs="Calibri" w:eastAsia="Calibri" w:hAnsi="Calibri"/>
          <w:color w:val="1C1917"/>
          <w:sz w:val="22"/>
          <w:szCs w:val="22"/>
        </w:rPr>
        <w:t xml:space="preserve">Begrundelse: </w:t>
      </w:r>
      <w:r>
        <w:rPr>
          <w:rFonts w:ascii="Calibri" w:cs="Calibri" w:eastAsia="Calibri" w:hAnsi="Calibri"/>
          <w:color w:val="1C1917"/>
          <w:sz w:val="22"/>
          <w:szCs w:val="22"/>
          <w:shd w:fill="E8E6E1" w:color="auto" w:val="clear"/>
        </w:rPr>
        <w:t xml:space="preserve">[Begrundelse]</w:t>
      </w:r>
    </w:p>
    <w:p>
      <w:pPr>
        <w:keepNext/>
        <w:spacing w:after="80" w:before="220"/>
      </w:pPr>
      <w:r>
        <w:rPr>
          <w:rFonts w:ascii="Calibri" w:cs="Calibri" w:eastAsia="Calibri" w:hAnsi="Calibri"/>
          <w:b/>
          <w:bCs/>
          <w:color w:val="28394A"/>
          <w:sz w:val="22"/>
          <w:szCs w:val="22"/>
        </w:rPr>
        <w:t xml:space="preserve">Tjekliste til forudgående høring af Datatilsynet (artikel 36, stk. 3)</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Oplysninger om de respektive ansvarsområder for den dataansvarlige, fælles dataansvarlige og databehandlere (litra a).</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Formålene med og midlerne til den påtænkte behandling (litra b).</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De foranstaltninger og garantier, der er fastsat for at beskytte de registreredes rettigheder (litra c).</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Kontaktoplysninger på databeskyttelsesrådgiveren, hvis en sådan er udpeget (litra d).</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Konsekvensanalysen (litra 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Andre oplysninger, som Datatilsynet anmoder om (litra f).</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Høringen skal ske, før behandlingen begynder (artikel 36, stk. 1). Mener Datatilsynet, at behandlingen vil være i strid med forordningen, giver tilsynet skriftlig rådgivning inden 8 uger; fristen kan forlænges med 6 uger ved komplekse behandlinger (artikel 36, stk. 2). Vent med at starte, til I har svaret, og planlæg projektet efter fristerne.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10.</w:t>
      </w:r>
      <w:r>
        <w:rPr>
          <w:rFonts w:ascii="Calibri" w:cs="Calibri" w:eastAsia="Calibri" w:hAnsi="Calibri"/>
          <w:sz w:val="26"/>
          <w:szCs w:val="26"/>
        </w:rPr>
        <w:t xml:space="preserve">	</w:t>
      </w:r>
      <w:r>
        <w:rPr>
          <w:rFonts w:ascii="Calibri" w:cs="Calibri" w:eastAsia="Calibri" w:hAnsi="Calibri"/>
          <w:b/>
          <w:bCs/>
          <w:color w:val="28394A"/>
          <w:sz w:val="26"/>
          <w:szCs w:val="26"/>
        </w:rPr>
        <w:t xml:space="preserve">Ledelsesgodkendelse</w:t>
      </w:r>
    </w:p>
    <w:p>
      <w:pPr>
        <w:spacing w:after="120" w:line="288" w:lineRule="auto"/>
      </w:pPr>
      <w:r>
        <w:rPr>
          <w:rFonts w:ascii="Calibri" w:cs="Calibri" w:eastAsia="Calibri" w:hAnsi="Calibri"/>
          <w:color w:val="1C1917"/>
          <w:sz w:val="22"/>
          <w:szCs w:val="22"/>
        </w:rPr>
        <w:t xml:space="preserve">Ledelsen har gennemgået konsekvensanalysen, accepterer restrisikoen som beskrevet i afsnit 9 og godkender gennemførelsen af foranstaltningerne i afsnit 7.</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For ledelsen</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tc>
      </w:tr>
    </w:tbl>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Opfølgning og revision (artikel 35, stk. 11)</w:t>
      </w:r>
    </w:p>
    <w:p>
      <w:pPr>
        <w:spacing w:after="120" w:line="288" w:lineRule="auto"/>
      </w:pPr>
      <w:r>
        <w:rPr>
          <w:rFonts w:ascii="Calibri" w:cs="Calibri" w:eastAsia="Calibri" w:hAnsi="Calibri"/>
          <w:color w:val="1C1917"/>
          <w:sz w:val="22"/>
          <w:szCs w:val="22"/>
        </w:rPr>
        <w:t xml:space="preserve">Analysen gennemgås senest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og i øvrigt, når en af følgende hændelser indtræffer: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Ny leverandør, databehandler eller underdatabehandler.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Nye typer af oplysninger, nye kategorier af registrerede eller nye datakilder.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Nyt formål eller ny funktion, herunder AI-funktioner eller automatiske afgørelser.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Overførsel til et nyt tredjeland.</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Sikkerhedsbrud eller væsentlige klager vedrørende behandlingen.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shd w:fill="E8E6E1" w:color="auto" w:val="clear"/>
        </w:rPr>
        <w:t xml:space="preserve">[Anden hændelse]</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955"/>
        <w:gridCol w:w="1432"/>
        <w:gridCol w:w="4774"/>
        <w:gridCol w:w="1909"/>
      </w:tblGrid>
      <w:tr>
        <w:trPr>
          <w:tblHeader/>
        </w:trPr>
        <w:tc>
          <w:tcPr>
            <w:tcW w:type="dxa" w:w="955"/>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Version</w:t>
            </w:r>
          </w:p>
        </w:tc>
        <w:tc>
          <w:tcPr>
            <w:tcW w:type="dxa" w:w="1432"/>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Dato</w:t>
            </w:r>
          </w:p>
        </w:tc>
        <w:tc>
          <w:tcPr>
            <w:tcW w:type="dxa" w:w="477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Ændring</w:t>
            </w:r>
          </w:p>
        </w:tc>
        <w:tc>
          <w:tcPr>
            <w:tcW w:type="dxa" w:w="1909"/>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Godkendt af</w:t>
            </w:r>
          </w:p>
        </w:tc>
      </w:tr>
      <w:tr>
        <w:trPr>
          <w:cantSplit/>
        </w:trPr>
        <w:tc>
          <w:tcPr>
            <w:tcW w:type="dxa" w:w="95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[1.0]</w:t>
            </w:r>
          </w:p>
        </w:tc>
        <w:tc>
          <w:tcPr>
            <w:tcW w:type="dxa" w:w="143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[Dato]</w:t>
            </w:r>
          </w:p>
        </w:tc>
        <w:tc>
          <w:tcPr>
            <w:tcW w:type="dxa" w:w="477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[Første udgave]</w:t>
            </w:r>
          </w:p>
        </w:tc>
        <w:tc>
          <w:tcPr>
            <w:tcW w:type="dxa" w:w="1909"/>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[Navn]</w:t>
            </w:r>
          </w:p>
        </w:tc>
      </w:tr>
      <w:tr>
        <w:trPr>
          <w:cantSplit/>
        </w:trPr>
        <w:tc>
          <w:tcPr>
            <w:tcW w:type="dxa" w:w="95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43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477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909"/>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95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43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477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909"/>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Bilag (valgfrit) - AI-systemer</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Bruges behandlingen af et AI-system, så brug Datatilsynets "Skabelon til konsekvensanalyse ved AI", som har en ekstra fane om AI-specifikke risici og foranstaltninger. Visse udbredere af højrisiko-AI-systemer skal desuden lave en konsekvensanalyse for grundlæggende rettigheder efter AI-forordningens artikel 27. Den supplerer DPIA'en og kan bygge på den (artikel 27, stk. 4).</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AI-system</w:t>
      </w:r>
      <w:r>
        <w:t xml:space="preserve">	</w:t>
      </w:r>
      <w:r>
        <w:rPr>
          <w:rFonts w:ascii="Calibri" w:cs="Calibri" w:eastAsia="Calibri" w:hAnsi="Calibri"/>
          <w:color w:val="1C1917"/>
          <w:sz w:val="22"/>
          <w:szCs w:val="22"/>
          <w:shd w:fill="E8E6E1" w:color="auto" w:val="clear"/>
        </w:rPr>
        <w:t xml:space="preserve">[Navn, udbyder, version]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Risikoklasse (AI-forordningen)</w:t>
      </w:r>
      <w:r>
        <w:t xml:space="preserve">	</w:t>
      </w:r>
      <w:r>
        <w:rPr>
          <w:rFonts w:ascii="Calibri" w:cs="Calibri" w:eastAsia="Calibri" w:hAnsi="Calibri"/>
          <w:color w:val="1C1917"/>
          <w:sz w:val="22"/>
          <w:szCs w:val="22"/>
          <w:shd w:fill="E8E6E1" w:color="auto" w:val="clear"/>
        </w:rPr>
        <w:t xml:space="preserve">[Fx højrisiko / begrænset risiko / minimal risiko]</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Menneskelig kontrol</w:t>
      </w:r>
      <w:r>
        <w:t xml:space="preserve">	</w:t>
      </w:r>
      <w:r>
        <w:rPr>
          <w:rFonts w:ascii="Calibri" w:cs="Calibri" w:eastAsia="Calibri" w:hAnsi="Calibri"/>
          <w:color w:val="1C1917"/>
          <w:sz w:val="22"/>
          <w:szCs w:val="22"/>
          <w:shd w:fill="E8E6E1" w:color="auto" w:val="clear"/>
        </w:rPr>
        <w:t xml:space="preserve">[Hvem kontrollerer output, og hvordan?]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Træningsdata</w:t>
      </w:r>
      <w:r>
        <w:t xml:space="preserve">	</w:t>
      </w:r>
      <w:r>
        <w:rPr>
          <w:rFonts w:ascii="Calibri" w:cs="Calibri" w:eastAsia="Calibri" w:hAnsi="Calibri"/>
          <w:color w:val="1C1917"/>
          <w:sz w:val="22"/>
          <w:szCs w:val="22"/>
          <w:shd w:fill="E8E6E1" w:color="auto" w:val="clear"/>
        </w:rPr>
        <w:t xml:space="preserve">[Bruges jeres oplysninger til at træne eller forbedre modellen? Ja / nej]</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Henvisning</w:t>
      </w:r>
      <w:r>
        <w:t xml:space="preserve">	</w:t>
      </w:r>
      <w:r>
        <w:rPr>
          <w:rFonts w:ascii="Calibri" w:cs="Calibri" w:eastAsia="Calibri" w:hAnsi="Calibri"/>
          <w:color w:val="1C1917"/>
          <w:sz w:val="22"/>
          <w:szCs w:val="22"/>
          <w:shd w:fill="E8E6E1" w:color="auto" w:val="clear"/>
        </w:rPr>
        <w:t xml:space="preserve">[FRIA efter AI-forordningens art. 27 - reference eller "ikke relevant"]</w:t>
      </w:r>
    </w:p>
    <w:sectPr>
      <w:headerReference w:type="default" r:id="rId10"/>
      <w:footerReference w:type="default" r:id="rId11"/>
      <w:pgSz w:w="11906" w:h="16838" w:orient="portrait"/>
      <w:pgMar w:top="1418" w:right="1418" w:bottom="1300" w:left="1418" w:header="560" w:footer="560" w:gutter="0"/>
      <w:pgNumType w:start="1" w:fmt="decimal"/>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F6B76"/>
        <w:sz w:val="15"/>
        <w:szCs w:val="15"/>
      </w:rPr>
      <w:t xml:space="preserve">Vejledning - slettes før brug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DE1" w:sz="4" w:space="6"/>
      </w:pBdr>
      <w:tabs>
        <w:tab w:val="right" w:pos="9026"/>
      </w:tabs>
    </w:pPr>
    <w:r>
      <w:rPr>
        <w:rFonts w:ascii="Calibri" w:cs="Calibri" w:eastAsia="Calibri" w:hAnsi="Calibri"/>
        <w:color w:val="5F6B76"/>
        <w:sz w:val="15"/>
        <w:szCs w:val="15"/>
      </w:rPr>
      <w:t xml:space="preserve">Skabelon fra Lovguiden  ·  </w:t>
    </w:r>
    <w:hyperlink w:history="1" r:id="rIdqldlgsdd_ugxzt9uprezw">
      <w:r>
        <w:rPr>
          <w:rFonts w:ascii="Calibri" w:cs="Calibri" w:eastAsia="Calibri" w:hAnsi="Calibri"/>
          <w:color w:val="1E4FA3"/>
          <w:sz w:val="15"/>
          <w:szCs w:val="15"/>
          <w:u w:val="single"/>
        </w:rPr>
        <w:t xml:space="preserve">lovguiden.dk/praksisoversigt/gdpr-og-compliance/konsekvensanalyse-dpia</w:t>
      </w:r>
    </w:hyperlink>
    <w:r>
      <w:rPr>
        <w:rFonts w:ascii="Calibri" w:cs="Calibri" w:eastAsia="Calibri" w:hAnsi="Calibri"/>
        <w:sz w:val="15"/>
        <w:szCs w:val="15"/>
      </w:rPr>
      <w:t xml:space="preserve">	</w:t>
    </w:r>
    <w:r>
      <w:rPr>
        <w:rFonts w:ascii="Calibri" w:cs="Calibri" w:eastAsia="Calibri" w:hAnsi="Calibri"/>
        <w:color w:val="5F6B76"/>
        <w:sz w:val="15"/>
        <w:szCs w:val="15"/>
      </w:rPr>
      <w:t xml:space="preserve">Side </w:t>
    </w:r>
    <w:r>
      <w:rPr>
        <w:rFonts w:ascii="Calibri" w:cs="Calibri" w:eastAsia="Calibri" w:hAnsi="Calibri"/>
        <w:color w:val="5F6B76"/>
        <w:sz w:val="15"/>
        <w:szCs w:val="15"/>
      </w:rPr>
      <w:fldChar w:fldCharType="begin"/>
    </w:r>
    <w:r>
      <w:rPr>
        <w:rFonts w:ascii="Calibri" w:cs="Calibri" w:eastAsia="Calibri" w:hAnsi="Calibri"/>
        <w:color w:val="5F6B76"/>
        <w:sz w:val="15"/>
        <w:szCs w:val="15"/>
      </w:rPr>
      <w:instrText xml:space="preserve">PAGE</w:instrText>
    </w:r>
    <w:r>
      <w:rPr>
        <w:rFonts w:ascii="Calibri" w:cs="Calibri" w:eastAsia="Calibri" w:hAnsi="Calibri"/>
        <w:color w:val="5F6B76"/>
        <w:sz w:val="15"/>
        <w:szCs w:val="15"/>
      </w:rPr>
      <w:fldChar w:fldCharType="separate"/>
    </w:r>
    <w:r>
      <w:rPr>
        <w:rFonts w:ascii="Calibri" w:cs="Calibri" w:eastAsia="Calibri" w:hAnsi="Calibri"/>
        <w:color w:val="5F6B7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5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nepnotrr9twcfl9brr6r-">
      <w:r>
        <w:rPr>
          <w:rFonts w:ascii="Calibri" w:cs="Calibri" w:eastAsia="Calibri" w:hAnsi="Calibri"/>
          <w:color w:val="1E4FA3"/>
          <w:sz w:val="16"/>
          <w:szCs w:val="16"/>
          <w:u w:val="single"/>
        </w:rPr>
        <w:t xml:space="preserve">www.lovguiden.dk</w:t>
      </w:r>
    </w:hyperlink>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5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xzbakdx8pnjwxvdr77idk">
      <w:r>
        <w:rPr>
          <w:rFonts w:ascii="Calibri" w:cs="Calibri" w:eastAsia="Calibri" w:hAnsi="Calibri"/>
          <w:color w:val="1E4FA3"/>
          <w:sz w:val="16"/>
          <w:szCs w:val="16"/>
          <w:u w:val="single"/>
        </w:rPr>
        <w:t xml:space="preserve">www.lovguiden.dk</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1917"/>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vnkphyf2qler00bn3f4qg" Type="http://schemas.openxmlformats.org/officeDocument/2006/relationships/hyperlink" Target="https://www.lovguiden.dk" TargetMode="External"/><Relationship Id="rIdjljrgbxeuvccimu5lkfwo" Type="http://schemas.openxmlformats.org/officeDocument/2006/relationships/hyperlink" Target="https://www.lovguiden.dk/praksisoversigt/gdpr-og-compliance/konsekvensanalyse-dpia" TargetMode="External"/><Relationship Id="rIdyyj7pmqpvumaumf7uwda6" Type="http://schemas.openxmlformats.org/officeDocument/2006/relationships/hyperlink" Target="https://www.lovguiden.dk/praksisoversigt/gdpr-og-compliance/konsekvensanalyse-dpia" TargetMode="External"/><Relationship Id="rId16" Type="http://schemas.openxmlformats.org/officeDocument/2006/relationships/image" Target="media/e34fde046ec96b6137abb248ac26a17e8220ff7b.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Relationship Id="rIdqldlgsdd_ugxzt9uprezw" Type="http://schemas.openxmlformats.org/officeDocument/2006/relationships/hyperlink" Target="https://www.lovguiden.dk/praksisoversigt/gdpr-og-compliance/konsekvensanalyse-dpia"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nepnotrr9twcfl9brr6r-"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_rels/header3.xml.rels><?xml version="1.0" encoding="UTF-8"?><Relationships xmlns="http://schemas.openxmlformats.org/package/2006/relationships"><Relationship Id="rIdxzbakdx8pnjwxvdr77idk"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Konsekvensanalyse vedrørende databeskyttelse (DPIA)</dc:title>
  <dc:creator>Lovguiden</dc:creator>
  <cp:lastModifiedBy>Un-named</cp:lastModifiedBy>
  <cp:revision>1</cp:revision>
  <dcterms:created xsi:type="dcterms:W3CDTF">2026-10-27T14:06:20.986Z</dcterms:created>
  <dcterms:modified xsi:type="dcterms:W3CDTF">2026-10-27T14:06:20.986Z</dcterms:modified>
</cp:coreProperties>
</file>

<file path=docProps/custom.xml><?xml version="1.0" encoding="utf-8"?>
<Properties xmlns="http://schemas.openxmlformats.org/officeDocument/2006/custom-properties" xmlns:vt="http://schemas.openxmlformats.org/officeDocument/2006/docPropsVTypes"/>
</file>