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drawing>
          <wp:inline distT="0" distB="0" distL="0" distR="0">
            <wp:extent cx="2190750" cy="600075"/>
            <wp:effectExtent t="0" r="0" b="0" l="0"/>
            <wp:docPr id="5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 w:before="2200"/>
      </w:pPr>
      <w:r>
        <w:rPr>
          <w:rFonts w:ascii="Calibri" w:cs="Calibri" w:eastAsia="Calibri" w:hAnsi="Calibri"/>
          <w:b/>
          <w:bCs/>
          <w:color w:val="9A7032"/>
          <w:spacing w:val="40"/>
          <w:sz w:val="17"/>
          <w:szCs w:val="17"/>
        </w:rPr>
        <w:t xml:space="preserve">SKABELON  ·  BOLIG- &amp; EJENDOMSDOKUMENTER</w:t>
      </w:r>
    </w:p>
    <w:p>
      <w:pPr>
        <w:spacing w:after="120" w:before="60" w:line="300" w:lineRule="auto"/>
      </w:pPr>
      <w:r>
        <w:rPr>
          <w:rFonts w:ascii="Calibri" w:cs="Calibri" w:eastAsia="Calibri" w:hAnsi="Calibri"/>
          <w:b/>
          <w:bCs/>
          <w:color w:val="28394A"/>
          <w:sz w:val="64"/>
          <w:szCs w:val="64"/>
        </w:rPr>
        <w:t xml:space="preserve">Arbejdsark til lejekontrakt (typeformular A10)</w:t>
      </w:r>
    </w:p>
    <w:p>
      <w:pPr>
        <w:spacing w:after="200" w:line="288" w:lineRule="auto"/>
      </w:pPr>
      <w:r>
        <w:rPr>
          <w:rFonts w:ascii="Calibri" w:cs="Calibri" w:eastAsia="Calibri" w:hAnsi="Calibri"/>
          <w:color w:val="5F6B76"/>
          <w:sz w:val="26"/>
          <w:szCs w:val="26"/>
        </w:rPr>
        <w:t xml:space="preserve">Forberedelse af lejekontrakt for beboelse samt indflytnings- og fraflytningsrapport</w:t>
      </w:r>
    </w:p>
    <w:p>
      <w:pPr>
        <w:pBdr>
          <w:bottom w:val="single" w:color="9A7032" w:sz="16"/>
        </w:pBdr>
        <w:spacing w:after="280"/>
        <w:ind w:right="7600"/>
      </w:pPr>
    </w:p>
    <w:p>
      <w:pPr>
        <w:spacing w:after="480" w:line="288" w:lineRule="auto"/>
      </w:pPr>
      <w:r>
        <w:rPr>
          <w:rFonts w:ascii="Calibri" w:cs="Calibri" w:eastAsia="Calibri" w:hAnsi="Calibri"/>
          <w:b/>
          <w:bCs/>
          <w:color w:val="3F3A33"/>
          <w:sz w:val="23"/>
          <w:szCs w:val="23"/>
        </w:rPr>
        <w:t xml:space="preserve">Dette er ikke en lejekontrakt.</w:t>
      </w:r>
      <w:r>
        <w:rPr>
          <w:rFonts w:ascii="Calibri" w:cs="Calibri" w:eastAsia="Calibri" w:hAnsi="Calibri"/>
          <w:color w:val="3F3A33"/>
          <w:sz w:val="23"/>
          <w:szCs w:val="23"/>
        </w:rPr>
        <w:t xml:space="preserve"> Bruger udlejer en formular til lejekontrakten, skal det være en autoriseret formular (lejeloven § 14). Bruges en ikke-autoriseret formular, er alle vilkår, der stiller lejeren ringere end loven, ugyldige (§ 14, stk. 3). Til almindelige private lejeboliger er det </w:t>
      </w:r>
      <w:r>
        <w:rPr>
          <w:rFonts w:ascii="Calibri" w:cs="Calibri" w:eastAsia="Calibri" w:hAnsi="Calibri"/>
          <w:b/>
          <w:bCs/>
          <w:color w:val="3F3A33"/>
          <w:sz w:val="23"/>
          <w:szCs w:val="23"/>
        </w:rPr>
        <w:t xml:space="preserve">typeformular A, 10. udgave</w:t>
      </w:r>
      <w:r>
        <w:rPr>
          <w:rFonts w:ascii="Calibri" w:cs="Calibri" w:eastAsia="Calibri" w:hAnsi="Calibri"/>
          <w:color w:val="3F3A33"/>
          <w:sz w:val="23"/>
          <w:szCs w:val="23"/>
        </w:rPr>
        <w:t xml:space="preserve"> med tilhørende vejledning.</w:t>
      </w:r>
    </w:p>
    <w:tbl>
      <w:tblPr>
        <w:tblW w:type="dxa" w:w="9070"/>
        <w:tblBorders>
          <w:top w:val="single" w:color="28394A" w:sz="8"/>
          <w:left w:val="none" w:color="FFFFFF" w:sz="0"/>
          <w:bottom w:val="single" w:color="D9DDE1" w:sz="4"/>
          <w:right w:val="none" w:color="FFFFFF" w:sz="0"/>
          <w:insideH w:val="single" w:color="D9DDE1" w:sz="4"/>
          <w:insideV w:val="none" w:color="FFFFFF" w:sz="0"/>
        </w:tblBorders>
      </w:tblPr>
      <w:tblGrid>
        <w:gridCol w:w="2400"/>
        <w:gridCol w:w="6670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DE1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F6B76"/>
                <w:sz w:val="18"/>
                <w:szCs w:val="18"/>
              </w:rPr>
              <w:t xml:space="preserve">Udgivet af</w:t>
            </w:r>
          </w:p>
        </w:tc>
        <w:tc>
          <w:tcPr>
            <w:tcW w:type="dxa" w:w="6670"/>
            <w:tcBorders>
              <w:top w:val="none" w:color="FFFFFF" w:sz="0"/>
              <w:left w:val="none" w:color="FFFFFF" w:sz="0"/>
              <w:bottom w:val="single" w:color="D9DDE1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Lovguiden  ·  </w:t>
            </w:r>
            <w:hyperlink w:history="1" r:id="rIdct2so5ig7lqkngn7m_zse">
              <w:r>
                <w:rPr>
                  <w:rFonts w:ascii="Calibri" w:cs="Calibri" w:eastAsia="Calibri" w:hAnsi="Calibri"/>
                  <w:color w:val="1E4FA3"/>
                  <w:sz w:val="20"/>
                  <w:szCs w:val="20"/>
                  <w:u w:val="single"/>
                </w:rPr>
                <w:t xml:space="preserve">www.lovguiden.dk</w:t>
              </w:r>
            </w:hyperlink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DE1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F6B76"/>
                <w:sz w:val="18"/>
                <w:szCs w:val="18"/>
              </w:rPr>
              <w:t xml:space="preserve">Tilhørende guide</w:t>
            </w:r>
          </w:p>
        </w:tc>
        <w:tc>
          <w:tcPr>
            <w:tcW w:type="dxa" w:w="6670"/>
            <w:tcBorders>
              <w:top w:val="none" w:color="FFFFFF" w:sz="0"/>
              <w:left w:val="none" w:color="FFFFFF" w:sz="0"/>
              <w:bottom w:val="single" w:color="D9DDE1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hyperlink w:history="1" r:id="rIdwtbysxa4luhnmwe0kz_be">
              <w:r>
                <w:rPr>
                  <w:rFonts w:ascii="Calibri" w:cs="Calibri" w:eastAsia="Calibri" w:hAnsi="Calibri"/>
                  <w:color w:val="1E4FA3"/>
                  <w:sz w:val="20"/>
                  <w:szCs w:val="20"/>
                  <w:u w:val="single"/>
                </w:rPr>
                <w:t xml:space="preserve">lovguiden.dk/praksisoversigt/fast-ejendom-og-bolig/lejekontrakt-beboelse</w:t>
              </w:r>
            </w:hyperlink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DE1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F6B76"/>
                <w:sz w:val="18"/>
                <w:szCs w:val="18"/>
              </w:rPr>
              <w:t xml:space="preserve">Version</w:t>
            </w:r>
          </w:p>
        </w:tc>
        <w:tc>
          <w:tcPr>
            <w:tcW w:type="dxa" w:w="6670"/>
            <w:tcBorders>
              <w:top w:val="none" w:color="FFFFFF" w:sz="0"/>
              <w:left w:val="none" w:color="FFFFFF" w:sz="0"/>
              <w:bottom w:val="single" w:color="D9DDE1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Oktober 2026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D9DDE1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F6B76"/>
                <w:sz w:val="18"/>
                <w:szCs w:val="18"/>
              </w:rPr>
              <w:t xml:space="preserve">Format</w:t>
            </w:r>
          </w:p>
        </w:tc>
        <w:tc>
          <w:tcPr>
            <w:tcW w:type="dxa" w:w="6670"/>
            <w:tcBorders>
              <w:top w:val="none" w:color="FFFFFF" w:sz="0"/>
              <w:left w:val="none" w:color="FFFFFF" w:sz="0"/>
              <w:bottom w:val="single" w:color="D9DDE1" w:sz="4"/>
              <w:right w:val="none" w:color="FFFFFF" w:sz="0"/>
            </w:tcBorders>
            <w:tcMar>
              <w:top w:type="dxa" w:w="90"/>
              <w:left w:type="dxa" w:w="0"/>
              <w:bottom w:type="dxa" w:w="90"/>
              <w:right w:type="dxa" w:w="0"/>
            </w:tcMar>
          </w:tcPr>
          <w:p>
            <w:r>
              <w:rPr>
                <w:rFonts w:ascii="Calibri" w:cs="Calibri" w:eastAsia="Calibri" w:hAnsi="Calibri"/>
                <w:sz w:val="20"/>
                <w:szCs w:val="20"/>
              </w:rPr>
              <w:t xml:space="preserve">Redigerbar skabelon - udfyld felterne, og slet vejledningen</w:t>
            </w:r>
          </w:p>
        </w:tc>
      </w:tr>
    </w:tbl>
    <w:p>
      <w:pPr>
        <w:spacing w:after="120" w:before="480"/>
      </w:pPr>
      <w:r>
        <w:rPr>
          <w:rFonts w:ascii="Calibri" w:cs="Calibri" w:eastAsia="Calibri" w:hAnsi="Calibri"/>
          <w:b/>
          <w:bCs/>
          <w:color w:val="28394A"/>
          <w:spacing w:val="40"/>
          <w:sz w:val="17"/>
          <w:szCs w:val="17"/>
        </w:rPr>
        <w:t xml:space="preserve">SÅDAN BRUGES SKABELONEN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00"/>
        <w:gridCol w:w="6670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color w:val="1C1917"/>
                <w:sz w:val="20"/>
                <w:szCs w:val="20"/>
                <w:shd w:fill="E8E6E1" w:color="auto" w:val="clear"/>
              </w:rPr>
              <w:t xml:space="preserve">[Navn]</w:t>
            </w:r>
          </w:p>
        </w:tc>
        <w:tc>
          <w:tcPr>
            <w:tcW w:type="dxa" w:w="66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200"/>
              <w:bottom w:type="dxa" w:w="80"/>
              <w:right w:type="dxa" w:w="0"/>
            </w:tcMar>
            <w:vAlign w:val="center"/>
          </w:tcPr>
          <w:p>
            <w:r>
              <w:rPr>
                <w:rFonts w:ascii="Calibri" w:cs="Calibri" w:eastAsia="Calibri" w:hAnsi="Calibri"/>
                <w:color w:val="3F3A33"/>
                <w:sz w:val="19"/>
                <w:szCs w:val="19"/>
              </w:rPr>
              <w:t xml:space="preserve">Grå felter i klammer udfyldes - fx navne, datoer og beløb.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single" w:color="C9A66B" w:sz="18"/>
              <w:bottom w:val="none" w:color="FFFFFF" w:sz="0"/>
              <w:right w:val="none" w:color="FFFFFF" w:sz="0"/>
            </w:tcBorders>
            <w:shd w:fill="F7F3EC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9A7032"/>
                <w:spacing w:val="30"/>
                <w:sz w:val="15"/>
                <w:szCs w:val="15"/>
              </w:rPr>
              <w:t xml:space="preserve">VEJLEDNING</w:t>
            </w:r>
          </w:p>
        </w:tc>
        <w:tc>
          <w:tcPr>
            <w:tcW w:type="dxa" w:w="66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200"/>
              <w:bottom w:type="dxa" w:w="80"/>
              <w:right w:type="dxa" w:w="0"/>
            </w:tcMar>
            <w:vAlign w:val="center"/>
          </w:tcPr>
          <w:p>
            <w:r>
              <w:rPr>
                <w:rFonts w:ascii="Calibri" w:cs="Calibri" w:eastAsia="Calibri" w:hAnsi="Calibri"/>
                <w:color w:val="3F3A33"/>
                <w:sz w:val="19"/>
                <w:szCs w:val="19"/>
              </w:rPr>
              <w:t xml:space="preserve">Tonede bokse er vejledning til jer og </w:t>
            </w:r>
            <w:r>
              <w:rPr>
                <w:rFonts w:ascii="Calibri" w:cs="Calibri" w:eastAsia="Calibri" w:hAnsi="Calibri"/>
                <w:b/>
                <w:bCs/>
                <w:color w:val="3F3A33"/>
                <w:sz w:val="19"/>
                <w:szCs w:val="19"/>
              </w:rPr>
              <w:t xml:space="preserve">slettes</w:t>
            </w:r>
            <w:r>
              <w:rPr>
                <w:rFonts w:ascii="Calibri" w:cs="Calibri" w:eastAsia="Calibri" w:hAnsi="Calibri"/>
                <w:color w:val="3F3A33"/>
                <w:sz w:val="19"/>
                <w:szCs w:val="19"/>
              </w:rPr>
              <w:t xml:space="preserve">, inden dokumentet bruges.</w:t>
            </w:r>
          </w:p>
        </w:tc>
      </w:tr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color w:val="28394A"/>
                <w:sz w:val="20"/>
                <w:szCs w:val="20"/>
              </w:rPr>
              <w:t xml:space="preserve">☐  Valgmulighed</w:t>
            </w:r>
          </w:p>
        </w:tc>
        <w:tc>
          <w:tcPr>
            <w:tcW w:type="dxa" w:w="66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200"/>
              <w:bottom w:type="dxa" w:w="80"/>
              <w:right w:type="dxa" w:w="0"/>
            </w:tcMar>
            <w:vAlign w:val="center"/>
          </w:tcPr>
          <w:p>
            <w:r>
              <w:rPr>
                <w:rFonts w:ascii="Calibri" w:cs="Calibri" w:eastAsia="Calibri" w:hAnsi="Calibri"/>
                <w:color w:val="3F3A33"/>
                <w:sz w:val="19"/>
                <w:szCs w:val="19"/>
              </w:rPr>
              <w:t xml:space="preserve">Vælg det, der passer, og slet resten. Afsnit, der ikke er relevante, kan slettes helt.</w:t>
            </w:r>
          </w:p>
        </w:tc>
      </w:tr>
    </w:tbl>
    <w:p>
      <w:pPr>
        <w:spacing w:after="0" w:before="480" w:line="288" w:lineRule="auto"/>
        <w:sectPr>
          <w:headerReference w:type="default" r:id="rId6"/>
          <w:footerReference w:type="default" r:id="rId7"/>
          <w:pgSz w:w="11906" w:h="16838" w:orient="portrait"/>
          <w:pgMar w:top="1100" w:right="1418" w:bottom="1300" w:left="1418" w:header="560" w:footer="560" w:gutter="0"/>
          <w:pgNumType/>
          <w:docGrid w:linePitch="360"/>
        </w:sectPr>
      </w:pPr>
      <w:r>
        <w:rPr>
          <w:rFonts w:ascii="Calibri" w:cs="Calibri" w:eastAsia="Calibri" w:hAnsi="Calibri"/>
          <w:i/>
          <w:iCs/>
          <w:color w:val="5F6B76"/>
          <w:sz w:val="16"/>
          <w:szCs w:val="16"/>
        </w:rPr>
        <w:t xml:space="preserve">Skabelonen er et udgangspunkt og ikke juridisk rådgivning. Lovgivningen kan være ændret siden udarbejdelsen - kontrollér reglerne, og søg rådgivning ved større eller usædvanlige forhold.</w:t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9A7032"/>
          <w:spacing w:val="40"/>
          <w:sz w:val="17"/>
          <w:szCs w:val="17"/>
        </w:rPr>
        <w:t xml:space="preserve">SLETTES FØR BRUG</w:t>
      </w:r>
    </w:p>
    <w:p>
      <w:pPr>
        <w:spacing w:after="240"/>
      </w:pPr>
      <w:r>
        <w:rPr>
          <w:rFonts w:ascii="Calibri" w:cs="Calibri" w:eastAsia="Calibri" w:hAnsi="Calibri"/>
          <w:b/>
          <w:bCs/>
          <w:color w:val="28394A"/>
          <w:sz w:val="40"/>
          <w:szCs w:val="40"/>
        </w:rPr>
        <w:t xml:space="preserve">Før du går i gang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VIGTIGT AT VIDE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b/>
          <w:bCs/>
          <w:color w:val="3F3A33"/>
          <w:sz w:val="19"/>
          <w:szCs w:val="19"/>
        </w:rPr>
        <w:t xml:space="preserve">Hent den officielle formular</w:t>
      </w:r>
      <w:r>
        <w:rPr>
          <w:rFonts w:ascii="Calibri" w:cs="Calibri" w:eastAsia="Calibri" w:hAnsi="Calibri"/>
          <w:color w:val="3F3A33"/>
          <w:sz w:val="19"/>
          <w:szCs w:val="19"/>
        </w:rPr>
        <w:t xml:space="preserve"> på Social- og Boligministeriets hjemmeside (sm.dk) - søg efter "typeformular A 10. udgave". Formularen findes på dansk og engelsk, og den, der udarbejder kontrakten, vælger version (BEK nr. 77 af 29. januar 2025 § 1, stk. 2). Bruges den engelske udgave, skal alle felter udfyldes på engelsk (§ 3, stk. 2).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b/>
          <w:bCs/>
          <w:color w:val="3F3A33"/>
          <w:sz w:val="19"/>
          <w:szCs w:val="19"/>
        </w:rPr>
        <w:t xml:space="preserve">Udfyld formularen uændret.</w:t>
      </w:r>
      <w:r>
        <w:rPr>
          <w:rFonts w:ascii="Calibri" w:cs="Calibri" w:eastAsia="Calibri" w:hAnsi="Calibri"/>
          <w:color w:val="3F3A33"/>
          <w:sz w:val="19"/>
          <w:szCs w:val="19"/>
        </w:rPr>
        <w:t xml:space="preserve"> Tekst, opsætning, A4-format og sidetal må ikke ændres (BEK nr. 77/2025 § 5). Vejledningen er en del af den autoriserede kontrakt og skal udleveres til lejeren sammen med kontrakten.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Brug arbejdsarket til at samle oplysningerne, før du udfylder formularen: Del 1 gennemgår formularens §§ 1-12 felt for felt. Del 2 er en tjekliste til § 11 (særlige vilkår) - med vejledning, men uden færdige vilkår, fordi standardiserede vilkår selv kræver autorisation. Arbejdsarket må ikke vedlægges kontrakten som tillæg.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Sidste del er en indflytnings- og fraflytningsrapport. Den er ikke en del af lejekontrakten og er ikke omfattet af kravet om autoriseret formular.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Arbejdsarket gælder ikke almene boliger, hvor der gælder andre regler.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Faldgruber: en ældre udgave af formularen bruges; fravigelser skrives andre steder end i § 11 eller ved at overstrege fortrykt tekst; samme "tillæg" bruges til flere lejere; NPI-regulering eller tidsbegrænsning er ikke aftalt udtrykkeligt; fristerne for flyttesyn overskrides.</w:t>
      </w:r>
    </w:p>
    <w:p>
      <w:pPr>
        <w:spacing w:after="120"/>
      </w:pP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KILDER OG INSPIRATION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Lejeloven (lov om leje, LOV nr. 341 af 22. marts 2022), bl.a. §§ 11, 12, 14, 19, 53, 54, 59, 65, 90, 91, 170-173 og 187.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Bekendtgørelse nr. 77 af 29. januar 2025 om autoriserede standardblanketter for lejeaftaler, §§ 1, 3 og 5.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Typeformular A, 10. udgave, af 1. september 2022 med vejledning (Social- og Boligministeriet, sm.dk).</w:t>
      </w:r>
    </w:p>
    <w:p>
      <w:pPr>
        <w:spacing w:before="200"/>
        <w:sectPr>
          <w:headerReference w:type="default" r:id="rId8"/>
          <w:footerReference w:type="default" r:id="rId9"/>
          <w:pgSz w:w="11906" w:h="16838" w:orient="portrait"/>
          <w:pgMar w:top="1418" w:right="1418" w:bottom="1300" w:left="1418" w:header="560" w:footer="560" w:gutter="0"/>
          <w:pgNumType/>
          <w:docGrid w:linePitch="360"/>
        </w:sectPr>
      </w:pPr>
      <w:r>
        <w:rPr>
          <w:rFonts w:ascii="Calibri" w:cs="Calibri" w:eastAsia="Calibri" w:hAnsi="Calibri"/>
          <w:color w:val="1C1917"/>
          <w:sz w:val="20"/>
          <w:szCs w:val="20"/>
        </w:rPr>
        <w:t xml:space="preserve">Læs guiden med lovkrav, faldgruber og praksis: </w:t>
      </w:r>
      <w:hyperlink w:history="1" r:id="rIdnfoc2kjz1yy0bx0-1qmqp">
        <w:r>
          <w:rPr>
            <w:rFonts w:ascii="Calibri" w:cs="Calibri" w:eastAsia="Calibri" w:hAnsi="Calibri"/>
            <w:color w:val="1E4FA3"/>
            <w:sz w:val="20"/>
            <w:szCs w:val="20"/>
            <w:u w:val="single"/>
          </w:rPr>
          <w:t xml:space="preserve">lovguiden.dk/praksisoversigt/fast-ejendom-og-bolig/lejekontrakt-beboelse</w:t>
        </w:r>
      </w:hyperlink>
    </w:p>
    <w:p>
      <w:pPr>
        <w:spacing w:after="80"/>
      </w:pPr>
      <w:r>
        <w:rPr>
          <w:rFonts w:ascii="Calibri" w:cs="Calibri" w:eastAsia="Calibri" w:hAnsi="Calibri"/>
          <w:b/>
          <w:bCs/>
          <w:color w:val="28394A"/>
          <w:sz w:val="44"/>
          <w:szCs w:val="44"/>
        </w:rPr>
        <w:t xml:space="preserve">Arbejdsark til lejekontrakt (typeformular A10)</w:t>
      </w:r>
    </w:p>
    <w:p>
      <w:pPr>
        <w:spacing w:after="120" w:line="288" w:lineRule="auto"/>
      </w:pPr>
      <w:r>
        <w:rPr>
          <w:rFonts w:ascii="Calibri" w:cs="Calibri" w:eastAsia="Calibri" w:hAnsi="Calibri"/>
          <w:color w:val="5F6B76"/>
          <w:sz w:val="22"/>
          <w:szCs w:val="22"/>
        </w:rPr>
        <w:t xml:space="preserve">Forberedelse af lejekontrakt for beboelse samt indflytnings- og fraflytningsrapport</w:t>
      </w:r>
    </w:p>
    <w:p>
      <w:pPr>
        <w:pBdr>
          <w:bottom w:val="single" w:color="9A7032" w:sz="12"/>
        </w:pBdr>
        <w:spacing w:after="360"/>
        <w:ind w:right="7600"/>
      </w:pPr>
    </w:p>
    <w:p>
      <w:pPr>
        <w:keepNext/>
        <w:pBdr>
          <w:bottom w:val="single" w:color="D9DDE1" w:sz="4"/>
        </w:pBdr>
        <w:tabs>
          <w:tab w:val="left" w:pos="520"/>
        </w:tabs>
        <w:spacing w:after="160" w:before="400"/>
        <w:ind w:left="520" w:hanging="520"/>
      </w:pPr>
      <w:r>
        <w:rPr>
          <w:rFonts w:ascii="Calibri" w:cs="Calibri" w:eastAsia="Calibri" w:hAnsi="Calibri"/>
          <w:b/>
          <w:bCs/>
          <w:color w:val="9A7032"/>
          <w:sz w:val="26"/>
          <w:szCs w:val="26"/>
        </w:rPr>
        <w:t xml:space="preserve">1.</w:t>
      </w:r>
      <w:r>
        <w:rPr>
          <w:rFonts w:ascii="Calibri" w:cs="Calibri" w:eastAsia="Calibri" w:hAnsi="Calibri"/>
          <w:sz w:val="26"/>
          <w:szCs w:val="26"/>
        </w:rPr>
        <w:t xml:space="preserve">	</w:t>
      </w:r>
      <w:r>
        <w:rPr>
          <w:rFonts w:ascii="Calibri" w:cs="Calibri" w:eastAsia="Calibri" w:hAnsi="Calibri"/>
          <w:b/>
          <w:bCs/>
          <w:color w:val="28394A"/>
          <w:sz w:val="26"/>
          <w:szCs w:val="26"/>
        </w:rPr>
        <w:t xml:space="preserve">Udfyldningsguide til typeformularens §§ 1-12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Skriv svarene her og overfør dem til formularen. Felterne følger formularens rækkefølge. Hvor formularen har afkrydsningsfelter, skrives det valgte svar.</w:t>
      </w:r>
    </w:p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28394A"/>
          <w:sz w:val="22"/>
          <w:szCs w:val="22"/>
        </w:rPr>
        <w:t xml:space="preserve">§ 1. Parterne og det lejede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Lejemålets type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[Lejlighed / enkeltværelse / ejerlejlighed / andelsbolig / andet]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Fremlejeforhold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[Ja / Nej]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Adresse og by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[Adresse, postnr. og by]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Udlejer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[Navn, CVR-nr./reg.nr., adresse, telefon, e-mail]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Lejer(e)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[Navn, adresse, telefon, e-mail - for hver lejer]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Bruttoetageareal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[Antal]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m²,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[Antal]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værelser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Heraf erhvervslokaler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[Antal]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m²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Brugsret til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[Fx fællesvaskeri, gårdanlæg, loft-/kælderrum nr., cykelparkering, garage nr.]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Benyttelse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[Fx beboelse for lejer og husstand]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Alle, der skal være lejere, skal stå i § 1 og skrive under i § 12. Arealet er bruttoetagearealet - kontrollér det mod BBR.</w:t>
      </w:r>
    </w:p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28394A"/>
          <w:sz w:val="22"/>
          <w:szCs w:val="22"/>
        </w:rPr>
        <w:t xml:space="preserve">§ 2. Lejeforholdets begyndelse og ophør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Lejeforholdet begynder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[Dato]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Lejers opsigelsesvarsel på 3 måneder er fortrykt. Et andet varsel, uopsigelighed og tidsbegrænsning skal stå i § 11 - se del 2. Udlejer kan kun opsige efter lejelovens §§ 170 og 171.</w:t>
      </w:r>
    </w:p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28394A"/>
          <w:sz w:val="22"/>
          <w:szCs w:val="22"/>
        </w:rPr>
        <w:t xml:space="preserve">§ 3. Betaling af leje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Årlig leje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kr.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[Beløb]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Betales pr.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[Måned / kvartal]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, forfald den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[Dag]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Leje pr. måned/kvartal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kr.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[Beløb]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A conto varme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kr.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[Beløb]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A conto vand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kr.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[Beløb]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A conto el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kr.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[Beløb]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A conto køling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kr.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[Beløb]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Antennebidrag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kr.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[Beløb]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Internetbidrag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kr.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[Beløb]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Beboerrepræsentation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kr.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[Beløb]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I alt pr. måned/kvartal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kr.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[Beløb]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Skatter og afgifter pr.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[Dato]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Betalingssted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[Reg.nr. og kontonr. / Betalingsservice]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Der kan kun opkræves beløb ud over lejen, når loven giver hjemmel til det - ellers skal beløbet være indeholdt i lejen. Særlige forhold om lejefastsættelsen (fx fri leje, afkast eller byfornyelse) skal stå i § 11.</w:t>
      </w:r>
    </w:p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28394A"/>
          <w:sz w:val="22"/>
          <w:szCs w:val="22"/>
        </w:rPr>
        <w:t xml:space="preserve">§ 4. Depositum og forudbetalt leje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Depositum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kr.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[Beløb]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, svarende til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[Antal]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måneders leje, betales senest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[Dato]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Forudbetalt leje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kr.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[Beløb]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, svarende til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[Antal]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måneders leje, betales senest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[Dato]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Leje for perioden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[Fra dato]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til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[Til dato]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, kr.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[Beløb]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Indbetaling i alt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kr.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[Beløb]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, senest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[Dato]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Første ordinære leje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[Dato]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Depositum kan højst svare til 3 måneders leje. Forudbetalt leje kan højst svare til lejen i lejers opsigelsesperiode og højst 3 måneders leje (lejeloven § 59). Beregn begge ud fra lejen uden a conto-bidrag.</w:t>
      </w:r>
    </w:p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28394A"/>
          <w:sz w:val="22"/>
          <w:szCs w:val="22"/>
        </w:rPr>
        <w:t xml:space="preserve">§ 5. Varme, køling, vand og el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Udlejer leverer varme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[Ja / Nej]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- opvarmning ved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[Fjernvarme/naturgas, centralvarme med olie, el, andet]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Varmeudgiften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[Opkræves ud over lejen (§ 65, stk. 1) / indeholdt i lejen (§ 65, stk. 2)]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Varmeregnskabsår fra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[Dato]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Lejer skaffer selv varme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[Ja / Nej]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- ved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[El, gas, olie, fjernvarme, andet]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Udlejer leverer vand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[Ja / Nej]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-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[efter individuelle målere / indeholdt i lejen]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, regnskabsår fra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[Dato]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Udlejer leverer el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[Ja / Nej]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-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[efter individuelle målere / indeholdt i lejen]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, regnskabsår fra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[Dato]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Udlejer leverer køling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[Ja / Nej]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-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[efter individuelle målere: ja/nej]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, regnskabsår fra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[Dato]</w:t>
      </w:r>
    </w:p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28394A"/>
          <w:sz w:val="22"/>
          <w:szCs w:val="22"/>
        </w:rPr>
        <w:t xml:space="preserve">§ 6. Fællesantenne og internet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Fællesantenne (udlejer)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[Ja / Nej]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- udlejer leverer fælles signal mod bidrag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Antenneforening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[Ja / Nej]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- lejernes antenneforening leverer signal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Internet (udlejer)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[Ja / Nej]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- udlejer leverer internet mod bidrag</w:t>
      </w:r>
    </w:p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28394A"/>
          <w:sz w:val="22"/>
          <w:szCs w:val="22"/>
        </w:rPr>
        <w:t xml:space="preserve">§ 7. Lejemålets stand ved ind- og fraflytning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Flere lejligheder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[Ja / Nej]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- udlejer udlejer mere end én beboelseslejlighed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Indflytningssyn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[Ja / Nej]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- synsdato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[Dato]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Fraflytningssyn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[Ja / Nej]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Udlejer, der udlejer mere end én beboelseslejlighed, skal holde ind- og fraflytningssyn for at kunne kræve istandsættelse ved fraflytning (lejeloven §§ 90 og 187). Brug rapporten bagerst i arbejdsarket.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Lejer skal give besked om mangler senest 2 uger efter lejeforholdets begyndelse - også selvom der har været indflytningssyn (§ 91).</w:t>
      </w:r>
    </w:p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28394A"/>
          <w:sz w:val="22"/>
          <w:szCs w:val="22"/>
        </w:rPr>
        <w:t xml:space="preserve">§ 8. Vedligeholdelse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Indvendig vedligehold.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[Udlejer / Lejer]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Vedligeholdelseskonto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kr.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[Beløb]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pr.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[Dato]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(kun hvis udlejer har pligten)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Indvendig vedligeholdelse er hvidtning, maling, tapetsering og behandling af gulve. Er det afkrydset, at lejer har pligten, skal det ikke gentages i § 11.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Skal lejer vedligeholde andet end låse og nøgler (fx hvidevarer eller have), skal det stå i § 11. I regulerede kommuner (lejeloven § 19) kan lejer ikke overtage udlejers udvendige vedligeholdelse - dog kan det aftales, at lejer vedligeholder en have, der hører til lejemålet.</w:t>
      </w:r>
    </w:p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28394A"/>
          <w:sz w:val="22"/>
          <w:szCs w:val="22"/>
        </w:rPr>
        <w:t xml:space="preserve">§ 9. Inventar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Udlejers inventar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[Fx komfur, køleskab, fryser, opvaskemaskine, vaskemaskine, tørretumbler, emhætte, andet]</w:t>
      </w:r>
    </w:p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28394A"/>
          <w:sz w:val="22"/>
          <w:szCs w:val="22"/>
        </w:rPr>
        <w:t xml:space="preserve">§ 10. Beboerrepræsentation, husdyr, husorden og øvrige oplysninger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Beboerrepræsentation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[Ja / Nej]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Husdyr tilladt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[Ja / Nej]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- særlige vilkår: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[Vilkår]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Husorden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[Ja / Nej]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- vedlægges, hvis den findes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Øvrige oplysninger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[Praktiske oplysninger om ejendommen, fx affaldssortering, vaskeri, parkering]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Under "Øvrige oplysninger" må der ikke stå fravigelser fra loven eller fra §§ 1-10. Fravigelser hører til i § 11.</w:t>
      </w:r>
    </w:p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28394A"/>
          <w:sz w:val="22"/>
          <w:szCs w:val="22"/>
        </w:rPr>
        <w:t xml:space="preserve">§ 11. Særlige vilkår</w:t>
      </w:r>
    </w:p>
    <w:p>
      <w:pPr>
        <w:spacing w:after="120" w:line="288" w:lineRule="auto"/>
      </w:pPr>
      <w:r>
        <w:rPr>
          <w:rFonts w:ascii="Calibri" w:cs="Calibri" w:eastAsia="Calibri" w:hAnsi="Calibri"/>
          <w:color w:val="1C1917"/>
          <w:sz w:val="22"/>
          <w:szCs w:val="22"/>
        </w:rPr>
        <w:t xml:space="preserve">Se tjeklisten i afsnit 2.</w:t>
      </w:r>
    </w:p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28394A"/>
          <w:sz w:val="22"/>
          <w:szCs w:val="22"/>
        </w:rPr>
        <w:t xml:space="preserve">§ 12. Underskrift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Udlejer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[Navn(e) og dato]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Lejer(e)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[Navn(e) og dato]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Udlever et underskrevet eksemplar af hele formularen med vejledning og en eventuel husorden til lejeren.</w:t>
      </w:r>
    </w:p>
    <w:p>
      <w:pPr>
        <w:keepNext/>
        <w:pBdr>
          <w:bottom w:val="single" w:color="D9DDE1" w:sz="4"/>
        </w:pBdr>
        <w:tabs>
          <w:tab w:val="left" w:pos="520"/>
        </w:tabs>
        <w:spacing w:after="160" w:before="400"/>
        <w:ind w:left="520" w:hanging="520"/>
      </w:pPr>
      <w:r>
        <w:rPr>
          <w:rFonts w:ascii="Calibri" w:cs="Calibri" w:eastAsia="Calibri" w:hAnsi="Calibri"/>
          <w:b/>
          <w:bCs/>
          <w:color w:val="9A7032"/>
          <w:sz w:val="26"/>
          <w:szCs w:val="26"/>
        </w:rPr>
        <w:t xml:space="preserve">2.</w:t>
      </w:r>
      <w:r>
        <w:rPr>
          <w:rFonts w:ascii="Calibri" w:cs="Calibri" w:eastAsia="Calibri" w:hAnsi="Calibri"/>
          <w:sz w:val="26"/>
          <w:szCs w:val="26"/>
        </w:rPr>
        <w:t xml:space="preserve">	</w:t>
      </w:r>
      <w:r>
        <w:rPr>
          <w:rFonts w:ascii="Calibri" w:cs="Calibri" w:eastAsia="Calibri" w:hAnsi="Calibri"/>
          <w:b/>
          <w:bCs/>
          <w:color w:val="28394A"/>
          <w:sz w:val="26"/>
          <w:szCs w:val="26"/>
        </w:rPr>
        <w:t xml:space="preserve">Tjekliste til § 11 - Særlige vilkår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I § 11 skrives kun det, der fraviger lejeloven eller formularens §§ 1-10. Skriv vilkårene konkret for netop dette lejemål og med egne ord. Tjeklisten hjælper dig med at afklare, hvad der skal aftales - den indeholder bevidst ingen færdige vilkår.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Fri leje og NPI-regulering er fortrykt i § 11 og udfyldes dér ved afkrydsning. Fortrykte vilkår med fed og kursiv skal ikke gentages.</w:t>
      </w:r>
    </w:p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28394A"/>
          <w:sz w:val="22"/>
          <w:szCs w:val="22"/>
        </w:rPr>
        <w:t xml:space="preserve">1. Fri leje (lejeloven § 54)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Fri leje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[Ja / Nej]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Grund efter § 54, stk. 1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[Nr. 1: ibrugtaget efter 31.12.1991 / nr. 2: tidligere erhverv / nr. 3: nyindrettet tagetage eller ny etage]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Feltet er fortrykt i § 11. Angiv, hvilket nummer i § 54, stk. 1, lejemålet falder ind under. For nr. 2 og 3 gælder fri leje kun, hvis det står i lejekontrakten (§ 54, stk. 2).</w:t>
      </w:r>
    </w:p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28394A"/>
          <w:sz w:val="22"/>
          <w:szCs w:val="22"/>
        </w:rPr>
        <w:t xml:space="preserve">2. Regulering efter nettoprisindeks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NPI-regulering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[Ja / Nej]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Reguleringsdato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[Dato hvert år]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Indeksmåned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[Måned]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Første regulering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[Dato]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Fortrykt i § 11. Regulering efter nettoprisindeks kræver udtrykkelig aftale og kan højst ske én gang om året (lejeloven § 53, stk. 2, og § 54, stk. 3). Andre indeks eller egne reguleringsformler kan ikke bruges. Har udlejer besluttet NPI-regulering efter § 26, skal kontrakten også angive, hvornår den 2-årige periode udløber (§ 11, stk. 5).</w:t>
      </w:r>
    </w:p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28394A"/>
          <w:sz w:val="22"/>
          <w:szCs w:val="22"/>
        </w:rPr>
        <w:t xml:space="preserve">3. Tidsbegrænsning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Ophørsdato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[Dato]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Begrundelse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[Konkret begrundelse i udlejers forhold, fx udstationering eller midlertidig forflyttelse - med datoer]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Opsigelse i perioden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[Ja, af (part) med (varsel) / Nej]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Tidsbegrænsning skal være tilstrækkeligt begrundet i udlejers forhold, ellers kan boligretten tilsidesætte den (lejeloven § 173, stk. 3). Et tidsbegrænset lejemål kan kun opsiges i perioden, hvis det er aftalt. Bor lejer der mere end 1 måned efter udløbet, uden at udlejer har krævet fraflytning, fortsætter lejemålet uden tidsbegrænsning (§ 173, stk. 2).</w:t>
      </w:r>
    </w:p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28394A"/>
          <w:sz w:val="22"/>
          <w:szCs w:val="22"/>
        </w:rPr>
        <w:t xml:space="preserve">4. Vedligeholdelse ud over § 8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Lejer vedligeholder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[Konkrete genstande eller områder, fx hvidevarer, have]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Er indvendig vedligeholdelse afkrydset i § 8, skal den ikke nævnes her. Se også note til § 8 om kommuner med boligregulering.</w:t>
      </w:r>
    </w:p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28394A"/>
          <w:sz w:val="22"/>
          <w:szCs w:val="22"/>
        </w:rPr>
        <w:t xml:space="preserve">5. Opsigelsesvarsel og uopsigelighed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Lejers varsel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[Varsel, hvis andet end 3 måneder]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Uopsigelighed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[Hvem, og i hvilken periode]</w:t>
      </w:r>
    </w:p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28394A"/>
          <w:sz w:val="22"/>
          <w:szCs w:val="22"/>
        </w:rPr>
        <w:t xml:space="preserve">6. Flere lejere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Hæftelse og fraflytning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[Hvordan lejerne hæfter, og hvad der gælder, hvis én lejer flytter]</w:t>
      </w:r>
    </w:p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28394A"/>
          <w:sz w:val="22"/>
          <w:szCs w:val="22"/>
        </w:rPr>
        <w:t xml:space="preserve">7. Særlige brugsvilkår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Brugsvilkår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[Vilkår, der fraviger loven eller § 10 - fx særlige vilkår for husdyr, der går ud over husordenen]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Tilladelse til husdyr og almindelige vilkår herfor skrives i § 10. Kun egentlige fravigelser hører til i § 11.</w:t>
      </w:r>
    </w:p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28394A"/>
          <w:sz w:val="22"/>
          <w:szCs w:val="22"/>
        </w:rPr>
        <w:t xml:space="preserve">8. Have, snerydning og trappevask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Lejers pligter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[Hvilke opgaver, hvor og hvor ofte]</w:t>
      </w:r>
    </w:p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28394A"/>
          <w:sz w:val="22"/>
          <w:szCs w:val="22"/>
        </w:rPr>
        <w:t xml:space="preserve">9. Afkast, byfornyelse og forbedringer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Lejefastsættelse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[Fx afkast (lejeloven § 11, stk. 4) eller privat byfornyelse og boligforbedring (§ 12)]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Visse forhold om lejefastsættelsen skal stå i lejekontrakten for at kunne gøres gældende. Se vejledningen til typeformularens § 11 og søg rådgivning ved tvivl.</w:t>
      </w:r>
    </w:p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28394A"/>
          <w:sz w:val="22"/>
          <w:szCs w:val="22"/>
        </w:rPr>
        <w:t xml:space="preserve">10. Digital kommunikation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Aftale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[Hvilke meddelelser der kan sendes digitalt, og til hvilke e-mailadresser]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Udgangspunktet er, at der kan kommunikeres digitalt i lejeforholdet. Betalingspåkrav, udlejers opsigelse og lejers indsigelse mod opsigelse kan dog ikke sendes digitalt (vejledningen til typeformularens § 11).</w:t>
      </w:r>
    </w:p>
    <w:p>
      <w:pPr>
        <w:keepNext/>
        <w:pBdr>
          <w:bottom w:val="single" w:color="D9DDE1" w:sz="4"/>
        </w:pBdr>
        <w:tabs>
          <w:tab w:val="left" w:pos="520"/>
        </w:tabs>
        <w:spacing w:after="160" w:before="400"/>
        <w:ind w:left="520" w:hanging="520"/>
      </w:pPr>
      <w:r>
        <w:rPr>
          <w:rFonts w:ascii="Calibri" w:cs="Calibri" w:eastAsia="Calibri" w:hAnsi="Calibri"/>
          <w:b/>
          <w:bCs/>
          <w:color w:val="9A7032"/>
          <w:sz w:val="26"/>
          <w:szCs w:val="26"/>
        </w:rPr>
        <w:t xml:space="preserve">3.</w:t>
      </w:r>
      <w:r>
        <w:rPr>
          <w:rFonts w:ascii="Calibri" w:cs="Calibri" w:eastAsia="Calibri" w:hAnsi="Calibri"/>
          <w:sz w:val="26"/>
          <w:szCs w:val="26"/>
        </w:rPr>
        <w:t xml:space="preserve">	</w:t>
      </w:r>
      <w:r>
        <w:rPr>
          <w:rFonts w:ascii="Calibri" w:cs="Calibri" w:eastAsia="Calibri" w:hAnsi="Calibri"/>
          <w:b/>
          <w:bCs/>
          <w:color w:val="28394A"/>
          <w:sz w:val="26"/>
          <w:szCs w:val="26"/>
        </w:rPr>
        <w:t xml:space="preserve">Må ikke stå i § 11</w:t>
      </w:r>
    </w:p>
    <w:p>
      <w:pPr>
        <w:tabs>
          <w:tab w:val="left" w:pos="760"/>
        </w:tabs>
        <w:spacing w:after="70" w:line="288" w:lineRule="auto"/>
        <w:ind w:left="760" w:hanging="400"/>
      </w:pPr>
      <w:r>
        <w:rPr>
          <w:rFonts w:ascii="Calibri" w:cs="Calibri" w:eastAsia="Calibri" w:hAnsi="Calibri"/>
          <w:color w:val="9A7032"/>
          <w:sz w:val="22"/>
          <w:szCs w:val="22"/>
        </w:rPr>
        <w:t xml:space="preserve">•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Vilkår, der i forvejen følger af lejeloven eller af husordenen.</w:t>
      </w:r>
    </w:p>
    <w:p>
      <w:pPr>
        <w:tabs>
          <w:tab w:val="left" w:pos="760"/>
        </w:tabs>
        <w:spacing w:after="70" w:line="288" w:lineRule="auto"/>
        <w:ind w:left="760" w:hanging="400"/>
      </w:pPr>
      <w:r>
        <w:rPr>
          <w:rFonts w:ascii="Calibri" w:cs="Calibri" w:eastAsia="Calibri" w:hAnsi="Calibri"/>
          <w:color w:val="9A7032"/>
          <w:sz w:val="22"/>
          <w:szCs w:val="22"/>
        </w:rPr>
        <w:t xml:space="preserve">•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Trappeleje eller andre faste lejestigninger.</w:t>
      </w:r>
    </w:p>
    <w:p>
      <w:pPr>
        <w:tabs>
          <w:tab w:val="left" w:pos="760"/>
        </w:tabs>
        <w:spacing w:after="70" w:line="288" w:lineRule="auto"/>
        <w:ind w:left="760" w:hanging="400"/>
      </w:pPr>
      <w:r>
        <w:rPr>
          <w:rFonts w:ascii="Calibri" w:cs="Calibri" w:eastAsia="Calibri" w:hAnsi="Calibri"/>
          <w:color w:val="9A7032"/>
          <w:sz w:val="22"/>
          <w:szCs w:val="22"/>
        </w:rPr>
        <w:t xml:space="preserve">•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Egne indeks eller reguleringsformler i stedet for nettoprisindeks.</w:t>
      </w:r>
    </w:p>
    <w:p>
      <w:pPr>
        <w:tabs>
          <w:tab w:val="left" w:pos="760"/>
        </w:tabs>
        <w:spacing w:after="70" w:line="288" w:lineRule="auto"/>
        <w:ind w:left="760" w:hanging="400"/>
      </w:pPr>
      <w:r>
        <w:rPr>
          <w:rFonts w:ascii="Calibri" w:cs="Calibri" w:eastAsia="Calibri" w:hAnsi="Calibri"/>
          <w:color w:val="9A7032"/>
          <w:sz w:val="22"/>
          <w:szCs w:val="22"/>
        </w:rPr>
        <w:t xml:space="preserve">•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Krav om, at lejemålet skal afleveres i bedre stand end ved indflytningen, fx et generelt krav om aflevering "nyistandsat".</w:t>
      </w:r>
    </w:p>
    <w:p>
      <w:pPr>
        <w:tabs>
          <w:tab w:val="left" w:pos="760"/>
        </w:tabs>
        <w:spacing w:after="70" w:line="288" w:lineRule="auto"/>
        <w:ind w:left="760" w:hanging="400"/>
      </w:pPr>
      <w:r>
        <w:rPr>
          <w:rFonts w:ascii="Calibri" w:cs="Calibri" w:eastAsia="Calibri" w:hAnsi="Calibri"/>
          <w:color w:val="9A7032"/>
          <w:sz w:val="22"/>
          <w:szCs w:val="22"/>
        </w:rPr>
        <w:t xml:space="preserve">•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A conto-bidrag regnet med i depositum eller forudbetalt leje.</w:t>
      </w:r>
    </w:p>
    <w:p>
      <w:pPr>
        <w:tabs>
          <w:tab w:val="left" w:pos="760"/>
        </w:tabs>
        <w:spacing w:after="70" w:line="288" w:lineRule="auto"/>
        <w:ind w:left="760" w:hanging="400"/>
      </w:pPr>
      <w:r>
        <w:rPr>
          <w:rFonts w:ascii="Calibri" w:cs="Calibri" w:eastAsia="Calibri" w:hAnsi="Calibri"/>
          <w:color w:val="9A7032"/>
          <w:sz w:val="22"/>
          <w:szCs w:val="22"/>
        </w:rPr>
        <w:t xml:space="preserve">•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Tidsbegrænsning uden konkret begrundelse.</w:t>
      </w:r>
    </w:p>
    <w:p>
      <w:pPr>
        <w:tabs>
          <w:tab w:val="left" w:pos="760"/>
        </w:tabs>
        <w:spacing w:after="70" w:line="288" w:lineRule="auto"/>
        <w:ind w:left="760" w:hanging="400"/>
      </w:pPr>
      <w:r>
        <w:rPr>
          <w:rFonts w:ascii="Calibri" w:cs="Calibri" w:eastAsia="Calibri" w:hAnsi="Calibri"/>
          <w:color w:val="9A7032"/>
          <w:sz w:val="22"/>
          <w:szCs w:val="22"/>
        </w:rPr>
        <w:t xml:space="preserve">•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Ændringer af den fortrykte tekst i §§ 1-10 - fravigelser skrives i § 11 og aldrig ved overstregning.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b/>
          <w:bCs/>
          <w:color w:val="3F3A33"/>
          <w:sz w:val="19"/>
          <w:szCs w:val="19"/>
        </w:rPr>
        <w:t xml:space="preserve">ADVARSEL OM TILLÆG.</w:t>
      </w:r>
      <w:r>
        <w:rPr>
          <w:rFonts w:ascii="Calibri" w:cs="Calibri" w:eastAsia="Calibri" w:hAnsi="Calibri"/>
          <w:color w:val="3F3A33"/>
          <w:sz w:val="19"/>
          <w:szCs w:val="19"/>
        </w:rPr>
        <w:t xml:space="preserve"> Er der ikke plads i § 11, kan vilkårene fortsætte i et tillæg. Vejledningen til typeformularen siger: "Tillægget må ikke indeholde ensartede lejevilkår for flere lejere i samme ejendom, når de fremtræder på en sådan måde, at lejeren må opfatte dem som standardiserede, da tillægget i så fald skal være autoriseret. Der er ikke autoriseret et særligt tillæg til typeformular A, 10. udgave."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Skriv derfor vilkårene individuelt for hvert lejemål, og brug ikke samme tillæg til flere lejere. Det anbefales, at et tillæg underskrives særskilt.</w:t>
      </w:r>
    </w:p>
    <w:p>
      <w:pPr>
        <w:pageBreakBefore/>
      </w:pPr>
    </w:p>
    <w:p>
      <w:pPr>
        <w:keepNext/>
        <w:pBdr>
          <w:bottom w:val="single" w:color="D9DDE1" w:sz="4"/>
        </w:pBdr>
        <w:tabs>
          <w:tab w:val="left" w:pos="520"/>
        </w:tabs>
        <w:spacing w:after="160" w:before="400"/>
        <w:ind w:left="520" w:hanging="520"/>
      </w:pPr>
      <w:r>
        <w:rPr>
          <w:rFonts w:ascii="Calibri" w:cs="Calibri" w:eastAsia="Calibri" w:hAnsi="Calibri"/>
          <w:b/>
          <w:bCs/>
          <w:color w:val="9A7032"/>
          <w:sz w:val="26"/>
          <w:szCs w:val="26"/>
        </w:rPr>
        <w:t xml:space="preserve">4.</w:t>
      </w:r>
      <w:r>
        <w:rPr>
          <w:rFonts w:ascii="Calibri" w:cs="Calibri" w:eastAsia="Calibri" w:hAnsi="Calibri"/>
          <w:sz w:val="26"/>
          <w:szCs w:val="26"/>
        </w:rPr>
        <w:t xml:space="preserve">	</w:t>
      </w:r>
      <w:r>
        <w:rPr>
          <w:rFonts w:ascii="Calibri" w:cs="Calibri" w:eastAsia="Calibri" w:hAnsi="Calibri"/>
          <w:b/>
          <w:bCs/>
          <w:color w:val="28394A"/>
          <w:sz w:val="26"/>
          <w:szCs w:val="26"/>
        </w:rPr>
        <w:t xml:space="preserve">Indflytnings- og fraflytningsrapport</w:t>
      </w:r>
    </w:p>
    <w:p>
      <w:pPr>
        <w:spacing w:after="120" w:line="288" w:lineRule="auto"/>
      </w:pPr>
      <w:r>
        <w:rPr>
          <w:rFonts w:ascii="Calibri" w:cs="Calibri" w:eastAsia="Calibri" w:hAnsi="Calibri"/>
          <w:color w:val="1C1917"/>
          <w:sz w:val="22"/>
          <w:szCs w:val="22"/>
        </w:rPr>
        <w:t xml:space="preserve">Rapporten vedrører: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Indflytningssyn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Fraflytningssyn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Adresse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[Adresse, etage, postnr. og by]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Udlejer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[Navn]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Lejer(e)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[Navn(e)]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Begyndelse/ophør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[Dato for lejeforholdets begyndelse eller ophør]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Lejer indkaldt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[Dato og måde, fx brev eller e-mail]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Synet afholdt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[Dato og klokkeslæt]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Til stede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[Navne og roller]</w:t>
      </w: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Gælder udlejere, der udlejer mere end én beboelseslejlighed (lejeloven §§ 90 og 187):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b/>
          <w:bCs/>
          <w:color w:val="3F3A33"/>
          <w:sz w:val="19"/>
          <w:szCs w:val="19"/>
        </w:rPr>
        <w:t xml:space="preserve">Indflytning:</w:t>
      </w:r>
      <w:r>
        <w:rPr>
          <w:rFonts w:ascii="Calibri" w:cs="Calibri" w:eastAsia="Calibri" w:hAnsi="Calibri"/>
          <w:color w:val="3F3A33"/>
          <w:sz w:val="19"/>
          <w:szCs w:val="19"/>
        </w:rPr>
        <w:t xml:space="preserve"> Lejer indkaldes til synet. Rapporten udleveres ved synet - eller sendes senest 2 uger efter, hvis lejer ikke er til stede eller nægter at kvittere (§ 90).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b/>
          <w:bCs/>
          <w:color w:val="3F3A33"/>
          <w:sz w:val="19"/>
          <w:szCs w:val="19"/>
        </w:rPr>
        <w:t xml:space="preserve">Fraflytning:</w:t>
      </w:r>
      <w:r>
        <w:rPr>
          <w:rFonts w:ascii="Calibri" w:cs="Calibri" w:eastAsia="Calibri" w:hAnsi="Calibri"/>
          <w:color w:val="3F3A33"/>
          <w:sz w:val="19"/>
          <w:szCs w:val="19"/>
        </w:rPr>
        <w:t xml:space="preserve"> Synet holdes senest 2 uger efter, at udlejer er blevet bekendt med fraflytningen. Lejer indkaldes skriftligt med mindst 1 uges varsel. Rapporten udleveres ved synet - eller sendes senest 2 uger efter, hvis lejer ikke er til stede eller nægter at kvittere (§ 187, stk. 3-4).</w:t>
      </w:r>
    </w:p>
    <w:p>
      <w:pPr>
        <w:keepNext/>
        <w:keepLines/>
        <w:pBdr>
          <w:left w:val="single" w:color="C9A66B" w:sz="18" w:space="10"/>
        </w:pBdr>
        <w:shd w:fill="F7F3EC" w:color="auto" w:val="clear"/>
        <w:spacing w:after="6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Overholdes reglerne ikke, mister udlejer kravet om istandsættelse (§ 90, stk. 3, og § 187, stk. 5). Istandsættelse, der ikke står i fraflytningsrapporten, hæfter lejer ikke for.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Beskriv standen konkret, og tag daterede fotos.</w:t>
      </w:r>
    </w:p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28394A"/>
          <w:sz w:val="22"/>
          <w:szCs w:val="22"/>
        </w:rPr>
        <w:t xml:space="preserve">Stand rum for rum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95"/>
        <w:gridCol w:w="1395"/>
        <w:gridCol w:w="1395"/>
        <w:gridCol w:w="1395"/>
        <w:gridCol w:w="1395"/>
        <w:gridCol w:w="2093"/>
      </w:tblGrid>
      <w:tr>
        <w:trPr>
          <w:tblHeader/>
        </w:trPr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/>
                <w:bCs/>
                <w:color w:val="28394A"/>
                <w:sz w:val="18"/>
                <w:szCs w:val="18"/>
              </w:rPr>
              <w:t xml:space="preserve">Rum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/>
                <w:bCs/>
                <w:color w:val="28394A"/>
                <w:sz w:val="18"/>
                <w:szCs w:val="18"/>
              </w:rPr>
              <w:t xml:space="preserve">Vægge og lofter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/>
                <w:bCs/>
                <w:color w:val="28394A"/>
                <w:sz w:val="18"/>
                <w:szCs w:val="18"/>
              </w:rPr>
              <w:t xml:space="preserve">Gulve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/>
                <w:bCs/>
                <w:color w:val="28394A"/>
                <w:sz w:val="18"/>
                <w:szCs w:val="18"/>
              </w:rPr>
              <w:t xml:space="preserve">Døre, vinduer, træværk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/>
                <w:bCs/>
                <w:color w:val="28394A"/>
                <w:sz w:val="18"/>
                <w:szCs w:val="18"/>
              </w:rPr>
              <w:t xml:space="preserve">Inventar og installationer</w:t>
            </w:r>
          </w:p>
        </w:tc>
        <w:tc>
          <w:tcPr>
            <w:tcW w:type="dxa" w:w="2093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/>
                <w:bCs/>
                <w:color w:val="28394A"/>
                <w:sz w:val="18"/>
                <w:szCs w:val="18"/>
              </w:rPr>
              <w:t xml:space="preserve">Bemærkninger</w:t>
            </w:r>
          </w:p>
        </w:tc>
      </w:tr>
      <w:tr>
        <w:trPr>
          <w:cantSplit/>
        </w:trPr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Entré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2093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Stue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2093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Værelse 1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2093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Værelse 2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2093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Køkken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2093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Badeværelse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2093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Altan/terrasse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2093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Kælder-/loftrum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2093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2093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2093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395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2093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</w:tr>
    </w:tbl>
    <w:p>
      <w:pPr>
        <w:spacing w:after="160"/>
      </w:pPr>
    </w:p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28394A"/>
          <w:sz w:val="22"/>
          <w:szCs w:val="22"/>
        </w:rPr>
        <w:t xml:space="preserve">Måleraflæsning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74"/>
        <w:gridCol w:w="2474"/>
        <w:gridCol w:w="2474"/>
        <w:gridCol w:w="1649"/>
      </w:tblGrid>
      <w:tr>
        <w:trPr>
          <w:tblHeader/>
        </w:trPr>
        <w:tc>
          <w:tcPr>
            <w:tcW w:type="dxa" w:w="2474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/>
                <w:bCs/>
                <w:color w:val="28394A"/>
                <w:sz w:val="18"/>
                <w:szCs w:val="18"/>
              </w:rPr>
              <w:t xml:space="preserve">Måler</w:t>
            </w:r>
          </w:p>
        </w:tc>
        <w:tc>
          <w:tcPr>
            <w:tcW w:type="dxa" w:w="2474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/>
                <w:bCs/>
                <w:color w:val="28394A"/>
                <w:sz w:val="18"/>
                <w:szCs w:val="18"/>
              </w:rPr>
              <w:t xml:space="preserve">Målernr.</w:t>
            </w:r>
          </w:p>
        </w:tc>
        <w:tc>
          <w:tcPr>
            <w:tcW w:type="dxa" w:w="2474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/>
                <w:bCs/>
                <w:color w:val="28394A"/>
                <w:sz w:val="18"/>
                <w:szCs w:val="18"/>
              </w:rPr>
              <w:t xml:space="preserve">Aflæsning</w:t>
            </w:r>
          </w:p>
        </w:tc>
        <w:tc>
          <w:tcPr>
            <w:tcW w:type="dxa" w:w="1649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/>
                <w:bCs/>
                <w:color w:val="28394A"/>
                <w:sz w:val="18"/>
                <w:szCs w:val="18"/>
              </w:rPr>
              <w:t xml:space="preserve">Enhed</w:t>
            </w:r>
          </w:p>
        </w:tc>
      </w:tr>
      <w:tr>
        <w:trPr>
          <w:cantSplit/>
        </w:trPr>
        <w:tc>
          <w:tcPr>
            <w:tcW w:type="dxa" w:w="2474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El</w:t>
            </w:r>
          </w:p>
        </w:tc>
        <w:tc>
          <w:tcPr>
            <w:tcW w:type="dxa" w:w="2474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2474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649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kWh</w:t>
            </w:r>
          </w:p>
        </w:tc>
      </w:tr>
      <w:tr>
        <w:trPr>
          <w:cantSplit/>
        </w:trPr>
        <w:tc>
          <w:tcPr>
            <w:tcW w:type="dxa" w:w="2474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Koldt vand</w:t>
            </w:r>
          </w:p>
        </w:tc>
        <w:tc>
          <w:tcPr>
            <w:tcW w:type="dxa" w:w="2474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2474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649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m³</w:t>
            </w:r>
          </w:p>
        </w:tc>
      </w:tr>
      <w:tr>
        <w:trPr>
          <w:cantSplit/>
        </w:trPr>
        <w:tc>
          <w:tcPr>
            <w:tcW w:type="dxa" w:w="2474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Varmt vand</w:t>
            </w:r>
          </w:p>
        </w:tc>
        <w:tc>
          <w:tcPr>
            <w:tcW w:type="dxa" w:w="2474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2474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649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m³</w:t>
            </w:r>
          </w:p>
        </w:tc>
      </w:tr>
      <w:tr>
        <w:trPr>
          <w:cantSplit/>
        </w:trPr>
        <w:tc>
          <w:tcPr>
            <w:tcW w:type="dxa" w:w="2474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Varme</w:t>
            </w:r>
          </w:p>
        </w:tc>
        <w:tc>
          <w:tcPr>
            <w:tcW w:type="dxa" w:w="2474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2474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649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74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Gas</w:t>
            </w:r>
          </w:p>
        </w:tc>
        <w:tc>
          <w:tcPr>
            <w:tcW w:type="dxa" w:w="2474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2474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649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m³</w:t>
            </w:r>
          </w:p>
        </w:tc>
      </w:tr>
      <w:tr>
        <w:trPr>
          <w:cantSplit/>
        </w:trPr>
        <w:tc>
          <w:tcPr>
            <w:tcW w:type="dxa" w:w="2474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2474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2474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649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</w:tr>
    </w:tbl>
    <w:p>
      <w:pPr>
        <w:spacing w:after="160"/>
      </w:pPr>
    </w:p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28394A"/>
          <w:sz w:val="22"/>
          <w:szCs w:val="22"/>
        </w:rPr>
        <w:t xml:space="preserve">Nøgler og adgang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23"/>
        <w:gridCol w:w="3023"/>
        <w:gridCol w:w="3023"/>
      </w:tblGrid>
      <w:tr>
        <w:trPr>
          <w:tblHeader/>
        </w:trPr>
        <w:tc>
          <w:tcPr>
            <w:tcW w:type="dxa" w:w="3023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/>
                <w:bCs/>
                <w:color w:val="28394A"/>
                <w:sz w:val="18"/>
                <w:szCs w:val="18"/>
              </w:rPr>
              <w:t xml:space="preserve">Type</w:t>
            </w:r>
          </w:p>
        </w:tc>
        <w:tc>
          <w:tcPr>
            <w:tcW w:type="dxa" w:w="3023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/>
                <w:bCs/>
                <w:color w:val="28394A"/>
                <w:sz w:val="18"/>
                <w:szCs w:val="18"/>
              </w:rPr>
              <w:t xml:space="preserve">Antal udleveret/afleveret</w:t>
            </w:r>
          </w:p>
        </w:tc>
        <w:tc>
          <w:tcPr>
            <w:tcW w:type="dxa" w:w="3023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/>
                <w:bCs/>
                <w:color w:val="28394A"/>
                <w:sz w:val="18"/>
                <w:szCs w:val="18"/>
              </w:rPr>
              <w:t xml:space="preserve">Nr. eller mærkning</w:t>
            </w:r>
          </w:p>
        </w:tc>
      </w:tr>
      <w:tr>
        <w:trPr>
          <w:cantSplit/>
        </w:trPr>
        <w:tc>
          <w:tcPr>
            <w:tcW w:type="dxa" w:w="3023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Hoveddør</w:t>
            </w:r>
          </w:p>
        </w:tc>
        <w:tc>
          <w:tcPr>
            <w:tcW w:type="dxa" w:w="3023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3023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23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Opgang/gadedør</w:t>
            </w:r>
          </w:p>
        </w:tc>
        <w:tc>
          <w:tcPr>
            <w:tcW w:type="dxa" w:w="3023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3023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23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Postkasse</w:t>
            </w:r>
          </w:p>
        </w:tc>
        <w:tc>
          <w:tcPr>
            <w:tcW w:type="dxa" w:w="3023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3023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23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Kælder/loft</w:t>
            </w:r>
          </w:p>
        </w:tc>
        <w:tc>
          <w:tcPr>
            <w:tcW w:type="dxa" w:w="3023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3023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23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Brik/kort</w:t>
            </w:r>
          </w:p>
        </w:tc>
        <w:tc>
          <w:tcPr>
            <w:tcW w:type="dxa" w:w="3023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3023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023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3023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3023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</w:tr>
    </w:tbl>
    <w:p>
      <w:pPr>
        <w:spacing w:after="160"/>
      </w:pPr>
    </w:p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28394A"/>
          <w:sz w:val="22"/>
          <w:szCs w:val="22"/>
        </w:rPr>
        <w:t xml:space="preserve">Istandsættelse (kun ved fraflytning)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49"/>
        <w:gridCol w:w="2474"/>
        <w:gridCol w:w="3298"/>
        <w:gridCol w:w="1649"/>
      </w:tblGrid>
      <w:tr>
        <w:trPr>
          <w:tblHeader/>
        </w:trPr>
        <w:tc>
          <w:tcPr>
            <w:tcW w:type="dxa" w:w="1649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/>
                <w:bCs/>
                <w:color w:val="28394A"/>
                <w:sz w:val="18"/>
                <w:szCs w:val="18"/>
              </w:rPr>
              <w:t xml:space="preserve">Rum</w:t>
            </w:r>
          </w:p>
        </w:tc>
        <w:tc>
          <w:tcPr>
            <w:tcW w:type="dxa" w:w="2474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/>
                <w:bCs/>
                <w:color w:val="28394A"/>
                <w:sz w:val="18"/>
                <w:szCs w:val="18"/>
              </w:rPr>
              <w:t xml:space="preserve">Arbejde</w:t>
            </w:r>
          </w:p>
        </w:tc>
        <w:tc>
          <w:tcPr>
            <w:tcW w:type="dxa" w:w="3298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/>
                <w:bCs/>
                <w:color w:val="28394A"/>
                <w:sz w:val="18"/>
                <w:szCs w:val="18"/>
              </w:rPr>
              <w:t xml:space="preserve">Begrundelse (fx skade eller manglende vedligeholdelse)</w:t>
            </w:r>
          </w:p>
        </w:tc>
        <w:tc>
          <w:tcPr>
            <w:tcW w:type="dxa" w:w="1649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shd w:fill="EEF1F4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/>
                <w:bCs/>
                <w:color w:val="28394A"/>
                <w:sz w:val="18"/>
                <w:szCs w:val="18"/>
              </w:rPr>
              <w:t xml:space="preserve">Anslået pris (kr.)</w:t>
            </w:r>
          </w:p>
        </w:tc>
      </w:tr>
      <w:tr>
        <w:trPr>
          <w:cantSplit/>
        </w:trPr>
        <w:tc>
          <w:tcPr>
            <w:tcW w:type="dxa" w:w="1649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2474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3298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649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649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2474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3298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649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649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2474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3298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649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649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2474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3298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649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649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2474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3298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649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649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2474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3298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  <w:tc>
          <w:tcPr>
            <w:tcW w:type="dxa" w:w="1649"/>
            <w:tcBorders>
              <w:top w:val="single" w:color="D9DDE1" w:sz="4"/>
              <w:left w:val="single" w:color="D9DDE1" w:sz="4"/>
              <w:bottom w:val="single" w:color="D9DDE1" w:sz="4"/>
              <w:right w:val="single" w:color="D9DDE1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60" w:lineRule="auto"/>
            </w:pPr>
            <w:r>
              <w:rPr>
                <w:rFonts w:ascii="Calibri" w:cs="Calibri" w:eastAsia="Calibri" w:hAnsi="Calibri"/>
                <w:b w:val="false"/>
                <w:bCs w:val="false"/>
                <w:color w:val="1C1917"/>
                <w:sz w:val="19"/>
                <w:szCs w:val="19"/>
              </w:rPr>
              <w:t xml:space="preserve"> </w:t>
            </w:r>
          </w:p>
        </w:tc>
      </w:tr>
    </w:tbl>
    <w:p>
      <w:pPr>
        <w:spacing w:after="160"/>
      </w:pPr>
    </w:p>
    <w:p>
      <w:pPr>
        <w:keepNext/>
        <w:pBdr>
          <w:left w:val="single" w:color="C9A66B" w:sz="18" w:space="10"/>
        </w:pBdr>
        <w:shd w:fill="F7F3EC" w:color="auto" w:val="clear"/>
        <w:spacing w:after="40" w:before="160"/>
        <w:ind w:left="200" w:right="200"/>
      </w:pPr>
      <w:r>
        <w:rPr>
          <w:rFonts w:ascii="Calibri" w:cs="Calibri" w:eastAsia="Calibri" w:hAnsi="Calibri"/>
          <w:b/>
          <w:bCs/>
          <w:color w:val="9A7032"/>
          <w:spacing w:val="30"/>
          <w:sz w:val="15"/>
          <w:szCs w:val="15"/>
        </w:rPr>
        <w:t xml:space="preserve">VEJLEDNING - SLETTES FØR BRUG</w:t>
      </w:r>
    </w:p>
    <w:p>
      <w:pPr>
        <w:keepNext w:val="false"/>
        <w:keepLines/>
        <w:pBdr>
          <w:left w:val="single" w:color="C9A66B" w:sz="18" w:space="10"/>
        </w:pBdr>
        <w:shd w:fill="F7F3EC" w:color="auto" w:val="clear"/>
        <w:spacing w:after="220" w:line="270" w:lineRule="auto"/>
        <w:ind w:left="200" w:right="200"/>
      </w:pPr>
      <w:r>
        <w:rPr>
          <w:rFonts w:ascii="Calibri" w:cs="Calibri" w:eastAsia="Calibri" w:hAnsi="Calibri"/>
          <w:color w:val="3F3A33"/>
          <w:sz w:val="19"/>
          <w:szCs w:val="19"/>
        </w:rPr>
        <w:t xml:space="preserve">Lejer skal aflevere lejemålet i samme stand som ved indflytningen, bortset fra almindeligt slid og ælde, som udlejer har vedligeholdelsespligten for (lejeloven § 187, stk. 1). Lejer kan ikke pålægges at aflevere i bedre stand end ved indflytningen. Beskriv hvert krav, så det kan sammenholdes med indflytningsrapporten.</w:t>
      </w:r>
    </w:p>
    <w:p>
      <w:pPr>
        <w:keepNext/>
        <w:spacing w:after="80" w:before="220"/>
      </w:pPr>
      <w:r>
        <w:rPr>
          <w:rFonts w:ascii="Calibri" w:cs="Calibri" w:eastAsia="Calibri" w:hAnsi="Calibri"/>
          <w:b/>
          <w:bCs/>
          <w:color w:val="28394A"/>
          <w:sz w:val="22"/>
          <w:szCs w:val="22"/>
        </w:rPr>
        <w:t xml:space="preserve">Lejers bemærkninger og nye adresse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Lejers bemærkninger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[Bemærkninger]</w:t>
      </w:r>
    </w:p>
    <w:p>
      <w:pPr>
        <w:pBdr>
          <w:bottom w:val="single" w:color="ECEEF0" w:sz="2"/>
        </w:pBdr>
        <w:tabs>
          <w:tab w:val="left" w:pos="2800"/>
        </w:tabs>
        <w:spacing w:after="40" w:before="40"/>
        <w:ind w:left="2800" w:hanging="2800"/>
      </w:pPr>
      <w:r>
        <w:rPr>
          <w:rFonts w:ascii="Calibri" w:cs="Calibri" w:eastAsia="Calibri" w:hAnsi="Calibri"/>
          <w:color w:val="5F6B76"/>
          <w:sz w:val="20"/>
          <w:szCs w:val="20"/>
        </w:rPr>
        <w:t xml:space="preserve">Lejers nye adresse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[Adresse og e-mail]</w:t>
      </w:r>
    </w:p>
    <w:p>
      <w:pPr>
        <w:spacing w:after="120" w:line="288" w:lineRule="auto"/>
      </w:pPr>
      <w:r>
        <w:rPr>
          <w:rFonts w:ascii="Calibri" w:cs="Calibri" w:eastAsia="Calibri" w:hAnsi="Calibri"/>
          <w:color w:val="1C1917"/>
          <w:sz w:val="22"/>
          <w:szCs w:val="22"/>
        </w:rPr>
        <w:t xml:space="preserve">Rapporten er givet til lejer: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Ved synet.</w:t>
      </w:r>
    </w:p>
    <w:p>
      <w:pPr>
        <w:tabs>
          <w:tab w:val="left" w:pos="760"/>
        </w:tabs>
        <w:spacing w:after="80" w:line="288" w:lineRule="auto"/>
        <w:ind w:left="760" w:hanging="400"/>
      </w:pPr>
      <w:r>
        <w:rPr>
          <w:rFonts w:ascii="Segoe UI Symbol" w:cs="Segoe UI Symbol" w:eastAsia="Segoe UI Symbol" w:hAnsi="Segoe UI Symbol"/>
          <w:color w:val="28394A"/>
          <w:sz w:val="22"/>
          <w:szCs w:val="22"/>
        </w:rPr>
        <w:t xml:space="preserve">☐</w:t>
      </w:r>
      <w:r>
        <w:t xml:space="preserve">	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Sendt den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[Dato]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 til </w:t>
      </w:r>
      <w:r>
        <w:rPr>
          <w:rFonts w:ascii="Calibri" w:cs="Calibri" w:eastAsia="Calibri" w:hAnsi="Calibri"/>
          <w:color w:val="1C1917"/>
          <w:sz w:val="22"/>
          <w:szCs w:val="22"/>
          <w:shd w:fill="E8E6E1" w:color="auto" w:val="clear"/>
        </w:rPr>
        <w:t xml:space="preserve">[Adresse eller e-mail]</w:t>
      </w:r>
      <w:r>
        <w:rPr>
          <w:rFonts w:ascii="Calibri" w:cs="Calibri" w:eastAsia="Calibri" w:hAnsi="Calibri"/>
          <w:color w:val="1C1917"/>
          <w:sz w:val="22"/>
          <w:szCs w:val="22"/>
        </w:rPr>
        <w:t xml:space="preserve">.</w:t>
      </w:r>
    </w:p>
    <w:p>
      <w:pPr>
        <w:spacing w:after="120" w:line="288" w:lineRule="auto"/>
      </w:pPr>
      <w:r>
        <w:rPr>
          <w:rFonts w:ascii="Calibri" w:cs="Calibri" w:eastAsia="Calibri" w:hAnsi="Calibri"/>
          <w:color w:val="1C1917"/>
          <w:sz w:val="22"/>
          <w:szCs w:val="22"/>
        </w:rPr>
        <w:t xml:space="preserve">Lejers underskrift bekræfter modtagelsen af rapporten.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40"/>
              <w:left w:type="dxa" w:w="0"/>
              <w:bottom w:type="dxa" w:w="120"/>
              <w:right w:type="dxa" w:w="240"/>
            </w:tcMar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28394A"/>
                <w:sz w:val="22"/>
                <w:szCs w:val="22"/>
              </w:rPr>
              <w:t xml:space="preserve">Udlejer</w:t>
            </w:r>
          </w:p>
          <w:p>
            <w:pPr>
              <w:spacing w:after="600" w:line="288" w:lineRule="auto"/>
            </w:pPr>
            <w:r>
              <w:rPr>
                <w:rFonts w:ascii="Calibri" w:cs="Calibri" w:eastAsia="Calibri" w:hAnsi="Calibri"/>
                <w:color w:val="1C1917"/>
                <w:sz w:val="20"/>
                <w:szCs w:val="20"/>
              </w:rPr>
              <w:t xml:space="preserve">Sted og dato: </w:t>
            </w:r>
            <w:r>
              <w:rPr>
                <w:rFonts w:ascii="Calibri" w:cs="Calibri" w:eastAsia="Calibri" w:hAnsi="Calibri"/>
                <w:color w:val="1C1917"/>
                <w:sz w:val="20"/>
                <w:szCs w:val="20"/>
                <w:shd w:fill="E8E6E1" w:color="auto" w:val="clear"/>
              </w:rPr>
              <w:t xml:space="preserve">[Sted]</w:t>
            </w:r>
            <w:r>
              <w:rPr>
                <w:rFonts w:ascii="Calibri" w:cs="Calibri" w:eastAsia="Calibri" w:hAnsi="Calibri"/>
                <w:color w:val="1C1917"/>
                <w:sz w:val="20"/>
                <w:szCs w:val="20"/>
              </w:rPr>
              <w:t xml:space="preserve">, den </w:t>
            </w:r>
            <w:r>
              <w:rPr>
                <w:rFonts w:ascii="Calibri" w:cs="Calibri" w:eastAsia="Calibri" w:hAnsi="Calibri"/>
                <w:color w:val="1C1917"/>
                <w:sz w:val="20"/>
                <w:szCs w:val="20"/>
                <w:shd w:fill="E8E6E1" w:color="auto" w:val="clear"/>
              </w:rPr>
              <w:t xml:space="preserve">[Dato]</w:t>
            </w:r>
          </w:p>
          <w:p>
            <w:pPr>
              <w:pBdr>
                <w:bottom w:val="single" w:color="1C1917" w:sz="6"/>
              </w:pBdr>
              <w:spacing w:after="40"/>
              <w:ind w:right="360"/>
            </w:pPr>
          </w:p>
          <w:p>
            <w:pPr>
              <w:spacing w:after="40" w:line="288" w:lineRule="auto"/>
            </w:pPr>
            <w:r>
              <w:rPr>
                <w:rFonts w:ascii="Calibri" w:cs="Calibri" w:eastAsia="Calibri" w:hAnsi="Calibri"/>
                <w:color w:val="1C1917"/>
                <w:sz w:val="20"/>
                <w:szCs w:val="20"/>
                <w:shd w:fill="E8E6E1" w:color="auto" w:val="clear"/>
              </w:rPr>
              <w:t xml:space="preserve">[Navn]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40"/>
              <w:left w:type="dxa" w:w="0"/>
              <w:bottom w:type="dxa" w:w="120"/>
              <w:right w:type="dxa" w:w="240"/>
            </w:tcMar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28394A"/>
                <w:sz w:val="22"/>
                <w:szCs w:val="22"/>
              </w:rPr>
              <w:t xml:space="preserve">Lejer</w:t>
            </w:r>
          </w:p>
          <w:p>
            <w:pPr>
              <w:spacing w:after="600" w:line="288" w:lineRule="auto"/>
            </w:pPr>
            <w:r>
              <w:rPr>
                <w:rFonts w:ascii="Calibri" w:cs="Calibri" w:eastAsia="Calibri" w:hAnsi="Calibri"/>
                <w:color w:val="1C1917"/>
                <w:sz w:val="20"/>
                <w:szCs w:val="20"/>
              </w:rPr>
              <w:t xml:space="preserve">Sted og dato: </w:t>
            </w:r>
            <w:r>
              <w:rPr>
                <w:rFonts w:ascii="Calibri" w:cs="Calibri" w:eastAsia="Calibri" w:hAnsi="Calibri"/>
                <w:color w:val="1C1917"/>
                <w:sz w:val="20"/>
                <w:szCs w:val="20"/>
                <w:shd w:fill="E8E6E1" w:color="auto" w:val="clear"/>
              </w:rPr>
              <w:t xml:space="preserve">[Sted]</w:t>
            </w:r>
            <w:r>
              <w:rPr>
                <w:rFonts w:ascii="Calibri" w:cs="Calibri" w:eastAsia="Calibri" w:hAnsi="Calibri"/>
                <w:color w:val="1C1917"/>
                <w:sz w:val="20"/>
                <w:szCs w:val="20"/>
              </w:rPr>
              <w:t xml:space="preserve">, den </w:t>
            </w:r>
            <w:r>
              <w:rPr>
                <w:rFonts w:ascii="Calibri" w:cs="Calibri" w:eastAsia="Calibri" w:hAnsi="Calibri"/>
                <w:color w:val="1C1917"/>
                <w:sz w:val="20"/>
                <w:szCs w:val="20"/>
                <w:shd w:fill="E8E6E1" w:color="auto" w:val="clear"/>
              </w:rPr>
              <w:t xml:space="preserve">[Dato]</w:t>
            </w:r>
          </w:p>
          <w:p>
            <w:pPr>
              <w:pBdr>
                <w:bottom w:val="single" w:color="1C1917" w:sz="6"/>
              </w:pBdr>
              <w:spacing w:after="40"/>
              <w:ind w:right="360"/>
            </w:pPr>
          </w:p>
          <w:p>
            <w:pPr>
              <w:spacing w:after="40" w:line="288" w:lineRule="auto"/>
            </w:pPr>
            <w:r>
              <w:rPr>
                <w:rFonts w:ascii="Calibri" w:cs="Calibri" w:eastAsia="Calibri" w:hAnsi="Calibri"/>
                <w:color w:val="1C1917"/>
                <w:sz w:val="20"/>
                <w:szCs w:val="20"/>
                <w:shd w:fill="E8E6E1" w:color="auto" w:val="clear"/>
              </w:rPr>
              <w:t xml:space="preserve">[Navn]</w:t>
            </w:r>
          </w:p>
        </w:tc>
      </w:tr>
    </w:tbl>
    <w:sectPr>
      <w:headerReference w:type="default" r:id="rId10"/>
      <w:footerReference w:type="default" r:id="rId11"/>
      <w:pgSz w:w="11906" w:h="16838" w:orient="portrait"/>
      <w:pgMar w:top="1418" w:right="1418" w:bottom="1300" w:left="1418" w:header="560" w:footer="560" w:gutter="0"/>
      <w:pgNumType w:start="1" w:fmt="decimal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alibri" w:cs="Calibri" w:eastAsia="Calibri" w:hAnsi="Calibri"/>
        <w:color w:val="5F6B76"/>
        <w:sz w:val="15"/>
        <w:szCs w:val="15"/>
      </w:rPr>
      <w:t xml:space="preserve">Vejledning - slettes før brug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DE1" w:sz="4" w:space="6"/>
      </w:pBdr>
      <w:tabs>
        <w:tab w:val="right" w:pos="9026"/>
      </w:tabs>
    </w:pPr>
    <w:r>
      <w:rPr>
        <w:rFonts w:ascii="Calibri" w:cs="Calibri" w:eastAsia="Calibri" w:hAnsi="Calibri"/>
        <w:color w:val="5F6B76"/>
        <w:sz w:val="15"/>
        <w:szCs w:val="15"/>
      </w:rPr>
      <w:t xml:space="preserve">Skabelon fra Lovguiden  ·  </w:t>
    </w:r>
    <w:hyperlink w:history="1" r:id="rIdtzaukqig2l3j538cacatk">
      <w:r>
        <w:rPr>
          <w:rFonts w:ascii="Calibri" w:cs="Calibri" w:eastAsia="Calibri" w:hAnsi="Calibri"/>
          <w:color w:val="1E4FA3"/>
          <w:sz w:val="15"/>
          <w:szCs w:val="15"/>
          <w:u w:val="single"/>
        </w:rPr>
        <w:t xml:space="preserve">lovguiden.dk/praksisoversigt/fast-ejendom-og-bolig/lejekontrakt-beboelse</w:t>
      </w:r>
    </w:hyperlink>
    <w:r>
      <w:rPr>
        <w:rFonts w:ascii="Calibri" w:cs="Calibri" w:eastAsia="Calibri" w:hAnsi="Calibri"/>
        <w:sz w:val="15"/>
        <w:szCs w:val="15"/>
      </w:rPr>
      <w:t xml:space="preserve">	</w:t>
    </w:r>
    <w:r>
      <w:rPr>
        <w:rFonts w:ascii="Calibri" w:cs="Calibri" w:eastAsia="Calibri" w:hAnsi="Calibri"/>
        <w:color w:val="5F6B76"/>
        <w:sz w:val="15"/>
        <w:szCs w:val="15"/>
      </w:rPr>
      <w:t xml:space="preserve">Side </w:t>
    </w:r>
    <w:r>
      <w:rPr>
        <w:rFonts w:ascii="Calibri" w:cs="Calibri" w:eastAsia="Calibri" w:hAnsi="Calibri"/>
        <w:color w:val="5F6B76"/>
        <w:sz w:val="15"/>
        <w:szCs w:val="15"/>
      </w:rPr>
      <w:fldChar w:fldCharType="begin"/>
    </w:r>
    <w:r>
      <w:rPr>
        <w:rFonts w:ascii="Calibri" w:cs="Calibri" w:eastAsia="Calibri" w:hAnsi="Calibri"/>
        <w:color w:val="5F6B76"/>
        <w:sz w:val="15"/>
        <w:szCs w:val="15"/>
      </w:rPr>
      <w:instrText xml:space="preserve">PAGE</w:instrText>
    </w:r>
    <w:r>
      <w:rPr>
        <w:rFonts w:ascii="Calibri" w:cs="Calibri" w:eastAsia="Calibri" w:hAnsi="Calibri"/>
        <w:color w:val="5F6B76"/>
        <w:sz w:val="15"/>
        <w:szCs w:val="15"/>
      </w:rPr>
      <w:fldChar w:fldCharType="separate"/>
    </w:r>
    <w:r>
      <w:rPr>
        <w:rFonts w:ascii="Calibri" w:cs="Calibri" w:eastAsia="Calibri" w:hAnsi="Calibri"/>
        <w:color w:val="5F6B7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DE1" w:sz="4" w:space="6"/>
      </w:pBdr>
      <w:tabs>
        <w:tab w:val="right" w:pos="9026"/>
      </w:tabs>
    </w:pPr>
    <w:r>
      <w:drawing>
        <wp:inline distT="0" distB="0" distL="0" distR="0">
          <wp:extent cx="1047750" cy="285750"/>
          <wp:effectExtent t="0" r="0" b="0" l="0"/>
          <wp:docPr id="59" nam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hyperlink w:history="1" r:id="rIdbnsse6ioprd5dzfaoc_tz">
      <w:r>
        <w:rPr>
          <w:rFonts w:ascii="Calibri" w:cs="Calibri" w:eastAsia="Calibri" w:hAnsi="Calibri"/>
          <w:color w:val="1E4FA3"/>
          <w:sz w:val="16"/>
          <w:szCs w:val="16"/>
          <w:u w:val="single"/>
        </w:rPr>
        <w:t xml:space="preserve">www.lovguiden.dk</w:t>
      </w:r>
    </w:hyperlink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DE1" w:sz="4" w:space="6"/>
      </w:pBdr>
      <w:tabs>
        <w:tab w:val="right" w:pos="9026"/>
      </w:tabs>
    </w:pPr>
    <w:r>
      <w:drawing>
        <wp:inline distT="0" distB="0" distL="0" distR="0">
          <wp:extent cx="1047750" cy="285750"/>
          <wp:effectExtent t="0" r="0" b="0" l="0"/>
          <wp:docPr id="60" nam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hyperlink w:history="1" r:id="rIduzefpsgefvv-_4s9xhxvc">
      <w:r>
        <w:rPr>
          <w:rFonts w:ascii="Calibri" w:cs="Calibri" w:eastAsia="Calibri" w:hAnsi="Calibri"/>
          <w:color w:val="1E4FA3"/>
          <w:sz w:val="16"/>
          <w:szCs w:val="16"/>
          <w:u w:val="single"/>
        </w:rPr>
        <w:t xml:space="preserve">www.lovguiden.dk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1917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footer" Target="footer3.xml"/><Relationship Id="rId12" Type="http://schemas.openxmlformats.org/officeDocument/2006/relationships/theme" Target="theme/theme1.xml"/><Relationship Id="rIdct2so5ig7lqkngn7m_zse" Type="http://schemas.openxmlformats.org/officeDocument/2006/relationships/hyperlink" Target="https://www.lovguiden.dk" TargetMode="External"/><Relationship Id="rIdwtbysxa4luhnmwe0kz_be" Type="http://schemas.openxmlformats.org/officeDocument/2006/relationships/hyperlink" Target="https://www.lovguiden.dk/praksisoversigt/fast-ejendom-og-bolig/lejekontrakt-beboelse" TargetMode="External"/><Relationship Id="rIdnfoc2kjz1yy0bx0-1qmqp" Type="http://schemas.openxmlformats.org/officeDocument/2006/relationships/hyperlink" Target="https://www.lovguiden.dk/praksisoversigt/fast-ejendom-og-bolig/lejekontrakt-beboelse" TargetMode="External"/><Relationship Id="rId16" Type="http://schemas.openxmlformats.org/officeDocument/2006/relationships/image" Target="media/e34fde046ec96b6137abb248ac26a17e8220ff7b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><Relationship Id="rIdtzaukqig2l3j538cacatk" Type="http://schemas.openxmlformats.org/officeDocument/2006/relationships/hyperlink" Target="https://www.lovguiden.dk/praksisoversigt/fast-ejendom-og-bolig/lejekontrakt-beboelse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><Relationship Id="rIdbnsse6ioprd5dzfaoc_tz" Type="http://schemas.openxmlformats.org/officeDocument/2006/relationships/hyperlink" Target="https://www.lovguiden.dk" TargetMode="External"/><Relationship Id="rId0" Type="http://schemas.openxmlformats.org/officeDocument/2006/relationships/image" Target="media/e34fde046ec96b6137abb248ac26a17e8220ff7b.png"/></Relationships>
</file>

<file path=word/_rels/header3.xml.rels><?xml version="1.0" encoding="UTF-8"?><Relationships xmlns="http://schemas.openxmlformats.org/package/2006/relationships"><Relationship Id="rIduzefpsgefvv-_4s9xhxvc" Type="http://schemas.openxmlformats.org/officeDocument/2006/relationships/hyperlink" Target="https://www.lovguiden.dk" TargetMode="External"/><Relationship Id="rId0" Type="http://schemas.openxmlformats.org/officeDocument/2006/relationships/image" Target="media/e34fde046ec96b6137abb248ac26a17e8220ff7b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Arbejdsark til lejekontrakt (typeformular A10)</dc:title>
  <dc:creator>Lovguiden</dc:creator>
  <cp:lastModifiedBy>Un-named</cp:lastModifiedBy>
  <cp:revision>1</cp:revision>
  <dcterms:created xsi:type="dcterms:W3CDTF">2026-10-27T14:06:21.295Z</dcterms:created>
  <dcterms:modified xsi:type="dcterms:W3CDTF">2026-10-27T14:06:21.295Z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