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ANSÆTTELSESDOKUMENTER</w:t>
      </w:r>
    </w:p>
    <w:p>
      <w:pPr>
        <w:spacing w:after="120" w:before="60" w:line="300" w:lineRule="auto"/>
      </w:pPr>
      <w:r>
        <w:rPr>
          <w:rFonts w:ascii="Calibri" w:cs="Calibri" w:eastAsia="Calibri" w:hAnsi="Calibri"/>
          <w:b/>
          <w:bCs/>
          <w:color w:val="28394A"/>
          <w:sz w:val="64"/>
          <w:szCs w:val="64"/>
        </w:rPr>
        <w:t xml:space="preserve">Personalehåndbog</w:t>
      </w:r>
    </w:p>
    <w:p>
      <w:pPr>
        <w:spacing w:after="200" w:line="288" w:lineRule="auto"/>
      </w:pPr>
      <w:r>
        <w:rPr>
          <w:rFonts w:ascii="Calibri" w:cs="Calibri" w:eastAsia="Calibri" w:hAnsi="Calibri"/>
          <w:color w:val="1C1917"/>
          <w:sz w:val="26"/>
          <w:szCs w:val="26"/>
          <w:shd w:fill="E8E6E1" w:color="auto" w:val="clear"/>
        </w:rPr>
        <w:t xml:space="preserve">[Virksomhedens navn]</w:t>
      </w:r>
      <w:r>
        <w:rPr>
          <w:rFonts w:ascii="Calibri" w:cs="Calibri" w:eastAsia="Calibri" w:hAnsi="Calibri"/>
          <w:color w:val="5F6B76"/>
          <w:sz w:val="26"/>
          <w:szCs w:val="26"/>
        </w:rPr>
        <w:t xml:space="preserve"> · version </w:t>
      </w:r>
      <w:r>
        <w:rPr>
          <w:rFonts w:ascii="Calibri" w:cs="Calibri" w:eastAsia="Calibri" w:hAnsi="Calibri"/>
          <w:color w:val="1C1917"/>
          <w:sz w:val="26"/>
          <w:szCs w:val="26"/>
          <w:shd w:fill="E8E6E1" w:color="auto" w:val="clear"/>
        </w:rPr>
        <w:t xml:space="preserve">[Nr.]</w:t>
      </w:r>
      <w:r>
        <w:rPr>
          <w:rFonts w:ascii="Calibri" w:cs="Calibri" w:eastAsia="Calibri" w:hAnsi="Calibri"/>
          <w:color w:val="5F6B76"/>
          <w:sz w:val="26"/>
          <w:szCs w:val="26"/>
        </w:rPr>
        <w:t xml:space="preserve"> · gældende fra </w:t>
      </w:r>
      <w:r>
        <w:rPr>
          <w:rFonts w:ascii="Calibri" w:cs="Calibri" w:eastAsia="Calibri" w:hAnsi="Calibri"/>
          <w:color w:val="1C1917"/>
          <w:sz w:val="26"/>
          <w:szCs w:val="26"/>
          <w:shd w:fill="E8E6E1" w:color="auto" w:val="clear"/>
        </w:rPr>
        <w:t xml:space="preserve">[Dato]</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Personalehåndbogen samler virksomhedens regler og politikker for de ansatte. Der er ingen lovpligtig håndbog, men nogle politikker </w:t>
      </w:r>
      <w:r>
        <w:rPr>
          <w:rFonts w:ascii="Calibri" w:cs="Calibri" w:eastAsia="Calibri" w:hAnsi="Calibri"/>
          <w:b/>
          <w:bCs/>
          <w:color w:val="3F3A33"/>
          <w:sz w:val="23"/>
          <w:szCs w:val="23"/>
        </w:rPr>
        <w:t xml:space="preserve">skal</w:t>
      </w:r>
      <w:r>
        <w:rPr>
          <w:rFonts w:ascii="Calibri" w:cs="Calibri" w:eastAsia="Calibri" w:hAnsi="Calibri"/>
          <w:color w:val="3F3A33"/>
          <w:sz w:val="23"/>
          <w:szCs w:val="23"/>
        </w:rPr>
        <w:t xml:space="preserve"> findes skriftligt, og håndbogen er et naturligt sted at samle dem.</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idd7wgjhaok7oilabny9m">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akgvkr8tatx3igb4bdpwe">
              <w:r>
                <w:rPr>
                  <w:rFonts w:ascii="Calibri" w:cs="Calibri" w:eastAsia="Calibri" w:hAnsi="Calibri"/>
                  <w:color w:val="1E4FA3"/>
                  <w:sz w:val="20"/>
                  <w:szCs w:val="20"/>
                  <w:u w:val="single"/>
                </w:rPr>
                <w:t xml:space="preserve">lovguiden.dk/praksisoversigt/ansaettelse/personalehaandbog</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er bygget af moduler. Hvert modul er markeret i vejledningen: </w:t>
      </w: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 skal findes for alle arbejdsgivere med ansatte. </w:t>
      </w:r>
      <w:r>
        <w:rPr>
          <w:rFonts w:ascii="Calibri" w:cs="Calibri" w:eastAsia="Calibri" w:hAnsi="Calibri"/>
          <w:b/>
          <w:bCs/>
          <w:color w:val="3F3A33"/>
          <w:sz w:val="19"/>
          <w:szCs w:val="19"/>
        </w:rPr>
        <w:t xml:space="preserve">Betinget</w:t>
      </w:r>
      <w:r>
        <w:rPr>
          <w:rFonts w:ascii="Calibri" w:cs="Calibri" w:eastAsia="Calibri" w:hAnsi="Calibri"/>
          <w:color w:val="3F3A33"/>
          <w:sz w:val="19"/>
          <w:szCs w:val="19"/>
        </w:rPr>
        <w:t xml:space="preserve"> = skal kun findes, når en betingelse er opfyldt (fx antal ansatte eller brug af kontrol). </w:t>
      </w: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 ikke lovpligtigt, men skaber klarhed. Slet de moduler, der ikke passer, og tjek nummereringen bagefter.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Lovpligtige moduler: Arbejdstid og registrering, Rygepolitik, Arbejdsmiljø og APV, Krænkende handlinger og Persondata om medarbejdere. Betingede moduler: Whistleblowerordning og Kontrolforanstaltninger.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Håndbogen er fastsat af arbejdsgiveren under ledelsesretten og kan ændres. Den kan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erstatte ansættelseskontrakten. Oplysninger, der skal stå direkte i ansættelsesbeviset (fx arbejdssted, stilling, tiltrædelse og overenskomst), kan ikke henvises til håndbogen (ansættelsesbevisloven § 3, stk. 4).</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Skriv ikke goder eller vilkår ind som rettigheder, hvis de skal kunne ændres. Goder, der er beskrevet som faste rettigheder eller er givet i lang tid, kan blive individuelle vilkår, som kun kan ændres med varsel. Klausuler (konkurrence, kunde) kan ikke indføres via håndbogen.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En politik kan kun bruges som grundlag for en advarsel, hvis medarbejderen kender den. Lad alle ansatte kvittere for håndbogen og for væsentlige ændringer (se Kvittering), og gem kvitteringerne.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rygepolitik uden konsekvenser eller uden e-cigaretter; logning, GPS eller anden kontrol uden forudgående information; whistleblowerordning, der kun er en e-mail til HR-chefen; personalegoder beskrevet som faste rettigheder; politikker, der aldrig er udleveret.</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Ansættelsesbevisloven §§ 3, 5 og 7 (forholdet til ansættelsesbeviset og anden beskæftigelse).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Arbejdstidsloven § 4 b (registrering af arbejdstid).</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røgfri miljøer § 5 (skriftlig rygepolitik) og lov om elektroniske cigaretter § 4 (skriftlig politik for e-cigaretter).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Arbejdsmiljøloven § 15 a (arbejdspladsvurdering) og bekendtgørelse om psykisk arbejdsmiljø.</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Ligebehandlingsloven (chikane, sexchikane og beskyttelse mod repressalier).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Whistleblowerloven (lov om beskyttelse af whistleblowere) §§ 9-13.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DA/LO-aftalen om kontrolforanstaltninger (varsel af nye kontrolforanstaltninger).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art. 13-14 og databeskyttelsesloven; tv-overvågningsloven.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Datatilsynet, "Databeskyttelse i forbindelse med ansættelsesforhold" og "Kontrol af medarbejdere".</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Sundhedsstyrelsen, "Røgfri arbejdstid - hvordan og hvorfor".</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vdiqeal5hil-1e4h1buzm">
        <w:r>
          <w:rPr>
            <w:rFonts w:ascii="Calibri" w:cs="Calibri" w:eastAsia="Calibri" w:hAnsi="Calibri"/>
            <w:color w:val="1E4FA3"/>
            <w:sz w:val="20"/>
            <w:szCs w:val="20"/>
            <w:u w:val="single"/>
          </w:rPr>
          <w:t xml:space="preserve">lovguiden.dk/praksisoversigt/ansaettelse/personalehaandbog</w:t>
        </w:r>
      </w:hyperlink>
    </w:p>
    <w:p>
      <w:pPr>
        <w:spacing w:after="80"/>
      </w:pPr>
      <w:r>
        <w:rPr>
          <w:rFonts w:ascii="Calibri" w:cs="Calibri" w:eastAsia="Calibri" w:hAnsi="Calibri"/>
          <w:b/>
          <w:bCs/>
          <w:color w:val="28394A"/>
          <w:sz w:val="44"/>
          <w:szCs w:val="44"/>
        </w:rPr>
        <w:t xml:space="preserve">Personalehåndbog</w:t>
      </w:r>
    </w:p>
    <w:p>
      <w:pPr>
        <w:spacing w:after="120" w:line="288" w:lineRule="auto"/>
      </w:pP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5F6B76"/>
          <w:sz w:val="22"/>
          <w:szCs w:val="22"/>
        </w:rPr>
        <w:t xml:space="preserve"> · version </w:t>
      </w:r>
      <w:r>
        <w:rPr>
          <w:rFonts w:ascii="Calibri" w:cs="Calibri" w:eastAsia="Calibri" w:hAnsi="Calibri"/>
          <w:color w:val="1C1917"/>
          <w:sz w:val="22"/>
          <w:szCs w:val="22"/>
          <w:shd w:fill="E8E6E1" w:color="auto" w:val="clear"/>
        </w:rPr>
        <w:t xml:space="preserve">[Nr.]</w:t>
      </w:r>
      <w:r>
        <w:rPr>
          <w:rFonts w:ascii="Calibri" w:cs="Calibri" w:eastAsia="Calibri" w:hAnsi="Calibri"/>
          <w:color w:val="5F6B76"/>
          <w:sz w:val="22"/>
          <w:szCs w:val="22"/>
        </w:rPr>
        <w:t xml:space="preserve"> · gældende fra </w:t>
      </w:r>
      <w:r>
        <w:rPr>
          <w:rFonts w:ascii="Calibri" w:cs="Calibri" w:eastAsia="Calibri" w:hAnsi="Calibri"/>
          <w:color w:val="1C1917"/>
          <w:sz w:val="22"/>
          <w:szCs w:val="22"/>
          <w:shd w:fill="E8E6E1" w:color="auto" w:val="clear"/>
        </w:rPr>
        <w:t xml:space="preserve">[Dato]</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Om personalehåndbogen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Afsnittet slår fast, at håndbogen er ledelsens retningslinjer og ikke en del af aftalen. Så kan den ændres uden det varsel, der gælder for at ændre et ansættelsesvilkår.</w:t>
      </w:r>
    </w:p>
    <w:p>
      <w:pPr>
        <w:spacing w:after="120" w:line="288" w:lineRule="auto"/>
      </w:pPr>
      <w:r>
        <w:rPr>
          <w:rFonts w:ascii="Calibri" w:cs="Calibri" w:eastAsia="Calibri" w:hAnsi="Calibri"/>
          <w:color w:val="1C1917"/>
          <w:sz w:val="22"/>
          <w:szCs w:val="22"/>
        </w:rPr>
        <w:t xml:space="preserve">Personalehåndbogen beskriver de regler og retningslinjer, der gælder for ansatte i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Den er fastsat af ledelsen og kan ændres. Ændringer meddeles skriftligt til alle ansatte, før de træder i kraft.</w:t>
      </w:r>
    </w:p>
    <w:p>
      <w:pPr>
        <w:spacing w:after="120" w:line="288" w:lineRule="auto"/>
      </w:pPr>
      <w:r>
        <w:rPr>
          <w:rFonts w:ascii="Calibri" w:cs="Calibri" w:eastAsia="Calibri" w:hAnsi="Calibri"/>
          <w:color w:val="1C1917"/>
          <w:sz w:val="22"/>
          <w:szCs w:val="22"/>
        </w:rPr>
        <w:t xml:space="preserve">Håndbogen er ikke en del af den enkelte ansættelsesaftale, medmindre det udtrykkeligt står i aftalen. Ved uoverensstemmelse går ansættelseskontrakten og en eventuel overenskomst forud for håndbogen.</w:t>
      </w:r>
    </w:p>
    <w:p>
      <w:pPr>
        <w:keepNext/>
        <w:spacing w:after="80" w:before="220"/>
      </w:pPr>
      <w:r>
        <w:rPr>
          <w:rFonts w:ascii="Calibri" w:cs="Calibri" w:eastAsia="Calibri" w:hAnsi="Calibri"/>
          <w:b/>
          <w:bCs/>
          <w:color w:val="28394A"/>
          <w:sz w:val="22"/>
          <w:szCs w:val="22"/>
        </w:rPr>
        <w:t xml:space="preserve">Versioner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008"/>
        <w:gridCol w:w="2016"/>
        <w:gridCol w:w="4031"/>
        <w:gridCol w:w="2016"/>
      </w:tblGrid>
      <w:tr>
        <w:trPr>
          <w:tblHeader/>
        </w:trPr>
        <w:tc>
          <w:tcPr>
            <w:tcW w:type="dxa" w:w="10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Version</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Gældende fra</w:t>
            </w:r>
          </w:p>
        </w:tc>
        <w:tc>
          <w:tcPr>
            <w:tcW w:type="dxa" w:w="403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Ændringer</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Godkendt af</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[Dato]</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[Kort beskrivelse]</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r>
        <w:trPr>
          <w:cantSplit/>
        </w:trPr>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403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 </w:t>
            </w:r>
          </w:p>
        </w:tc>
      </w:tr>
    </w:tbl>
    <w:p>
      <w:pPr>
        <w:spacing w:after="16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Praktiske oplysninger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Hold oplysningerne korte og opdaterede. Navne på tillidsrepræsentant og arbejdsmiljørepræsentant ændrer sig - overvej at henvise til intranettet.</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Åbningstid</w:t>
      </w:r>
      <w:r>
        <w:t xml:space="preserve">	</w:t>
      </w:r>
      <w:r>
        <w:rPr>
          <w:rFonts w:ascii="Calibri" w:cs="Calibri" w:eastAsia="Calibri" w:hAnsi="Calibri"/>
          <w:color w:val="1C1917"/>
          <w:sz w:val="22"/>
          <w:szCs w:val="22"/>
          <w:shd w:fill="E8E6E1" w:color="auto" w:val="clear"/>
        </w:rPr>
        <w:t xml:space="preserve">[Dage og tidsrum]</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Personaleansvarlig</w:t>
      </w:r>
      <w:r>
        <w:t xml:space="preserve">	</w:t>
      </w:r>
      <w:r>
        <w:rPr>
          <w:rFonts w:ascii="Calibri" w:cs="Calibri" w:eastAsia="Calibri" w:hAnsi="Calibri"/>
          <w:color w:val="1C1917"/>
          <w:sz w:val="22"/>
          <w:szCs w:val="22"/>
          <w:shd w:fill="E8E6E1" w:color="auto" w:val="clear"/>
        </w:rPr>
        <w:t xml:space="preserve">[Navn, telefon, e-mail]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Arbejdsmiljørepræsentant</w:t>
      </w:r>
      <w:r>
        <w:t xml:space="preserve">	</w:t>
      </w:r>
      <w:r>
        <w:rPr>
          <w:rFonts w:ascii="Calibri" w:cs="Calibri" w:eastAsia="Calibri" w:hAnsi="Calibri"/>
          <w:color w:val="1C1917"/>
          <w:sz w:val="22"/>
          <w:szCs w:val="22"/>
          <w:shd w:fill="E8E6E1" w:color="auto" w:val="clear"/>
        </w:rPr>
        <w:t xml:space="preserve">[Navn]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Tillidsrepræsentant</w:t>
      </w:r>
      <w:r>
        <w:t xml:space="preserve">	</w:t>
      </w:r>
      <w:r>
        <w:rPr>
          <w:rFonts w:ascii="Calibri" w:cs="Calibri" w:eastAsia="Calibri" w:hAnsi="Calibri"/>
          <w:color w:val="1C1917"/>
          <w:sz w:val="22"/>
          <w:szCs w:val="22"/>
          <w:shd w:fill="E8E6E1" w:color="auto" w:val="clear"/>
        </w:rPr>
        <w:t xml:space="preserve">[Navn eller "ingen"]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IT-support</w:t>
      </w:r>
      <w:r>
        <w:t xml:space="preserve">	</w:t>
      </w:r>
      <w:r>
        <w:rPr>
          <w:rFonts w:ascii="Calibri" w:cs="Calibri" w:eastAsia="Calibri" w:hAnsi="Calibri"/>
          <w:color w:val="1C1917"/>
          <w:sz w:val="22"/>
          <w:szCs w:val="22"/>
          <w:shd w:fill="E8E6E1" w:color="auto" w:val="clear"/>
        </w:rPr>
        <w:t xml:space="preserve">[Telefon, e-mail]</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Ansættelse og prøvetid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Beskriv den praktiske modtagelse. Prøvetid og vilkår står i den enkelte kontrakt - gentag dem ikke her.</w:t>
      </w:r>
    </w:p>
    <w:p>
      <w:pPr>
        <w:spacing w:after="120" w:line="288" w:lineRule="auto"/>
      </w:pPr>
      <w:r>
        <w:rPr>
          <w:rFonts w:ascii="Calibri" w:cs="Calibri" w:eastAsia="Calibri" w:hAnsi="Calibri"/>
          <w:color w:val="1C1917"/>
          <w:sz w:val="22"/>
          <w:szCs w:val="22"/>
        </w:rPr>
        <w:t xml:space="preserve">Nye medarbejdere får en introduktion til virksomheden, arbejdsopgaverne og sikkerheden på arbejdspladsen. Nærmeste leder er ansvarlig for introduktionen. </w:t>
      </w:r>
      <w:r>
        <w:rPr>
          <w:rFonts w:ascii="Calibri" w:cs="Calibri" w:eastAsia="Calibri" w:hAnsi="Calibri"/>
          <w:color w:val="1C1917"/>
          <w:sz w:val="22"/>
          <w:szCs w:val="22"/>
          <w:shd w:fill="E8E6E1" w:color="auto" w:val="clear"/>
        </w:rPr>
        <w:t xml:space="preserve">[Beskriv introduktionsforløbet, fx mentor, introduktionsdag, opfølgningssamtale efter (Antal) måneder.]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Arbejdstid og registrering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Arbejdsgiveren skal have et objektivt, pålideligt og tilgængeligt system til registrering af den daglige arbejdstid. Medarbejderen skal kunne se sine egne registreringer, og de skal gemmes i 5 år efter udløbet af den periode, den gennemsnitlige ugentlige arbejdstid beregnes over (arbejdstidsloven § 4 b). Beskriv systemet.</w:t>
      </w:r>
    </w:p>
    <w:p>
      <w:pPr>
        <w:spacing w:after="120" w:line="288" w:lineRule="auto"/>
      </w:pPr>
      <w:r>
        <w:rPr>
          <w:rFonts w:ascii="Calibri" w:cs="Calibri" w:eastAsia="Calibri" w:hAnsi="Calibri"/>
          <w:color w:val="1C1917"/>
          <w:sz w:val="22"/>
          <w:szCs w:val="22"/>
        </w:rPr>
        <w:t xml:space="preserve">Den normale arbejdstid fremgår af ansættelseskontrakten eller overenskomsten.</w:t>
      </w:r>
    </w:p>
    <w:p>
      <w:pPr>
        <w:spacing w:after="120" w:line="288" w:lineRule="auto"/>
      </w:pPr>
      <w:r>
        <w:rPr>
          <w:rFonts w:ascii="Calibri" w:cs="Calibri" w:eastAsia="Calibri" w:hAnsi="Calibri"/>
          <w:color w:val="1C1917"/>
          <w:sz w:val="22"/>
          <w:szCs w:val="22"/>
        </w:rPr>
        <w:t xml:space="preserve">Alle medarbejdere registrerer deres daglige arbejdstid i </w:t>
      </w:r>
      <w:r>
        <w:rPr>
          <w:rFonts w:ascii="Calibri" w:cs="Calibri" w:eastAsia="Calibri" w:hAnsi="Calibri"/>
          <w:color w:val="1C1917"/>
          <w:sz w:val="22"/>
          <w:szCs w:val="22"/>
          <w:shd w:fill="E8E6E1" w:color="auto" w:val="clear"/>
        </w:rPr>
        <w:t xml:space="preserve">[System]</w:t>
      </w:r>
      <w:r>
        <w:rPr>
          <w:rFonts w:ascii="Calibri" w:cs="Calibri" w:eastAsia="Calibri" w:hAnsi="Calibri"/>
          <w:color w:val="1C1917"/>
          <w:sz w:val="22"/>
          <w:szCs w:val="22"/>
        </w:rPr>
        <w:t xml:space="preserve">. Registreringen sker </w:t>
      </w:r>
      <w:r>
        <w:rPr>
          <w:rFonts w:ascii="Calibri" w:cs="Calibri" w:eastAsia="Calibri" w:hAnsi="Calibri"/>
          <w:color w:val="1C1917"/>
          <w:sz w:val="22"/>
          <w:szCs w:val="22"/>
          <w:shd w:fill="E8E6E1" w:color="auto" w:val="clear"/>
        </w:rPr>
        <w:t xml:space="preserve">[dagligt / ved arbejdsdagens slutning]</w:t>
      </w:r>
      <w:r>
        <w:rPr>
          <w:rFonts w:ascii="Calibri" w:cs="Calibri" w:eastAsia="Calibri" w:hAnsi="Calibri"/>
          <w:color w:val="1C1917"/>
          <w:sz w:val="22"/>
          <w:szCs w:val="22"/>
        </w:rPr>
        <w:t xml:space="preserve"> og skal vise </w:t>
      </w:r>
      <w:r>
        <w:rPr>
          <w:rFonts w:ascii="Calibri" w:cs="Calibri" w:eastAsia="Calibri" w:hAnsi="Calibri"/>
          <w:color w:val="1C1917"/>
          <w:sz w:val="22"/>
          <w:szCs w:val="22"/>
          <w:shd w:fill="E8E6E1" w:color="auto" w:val="clear"/>
        </w:rPr>
        <w:t xml:space="preserve">[arbejdets start og slut / det samlede antal timer]</w:t>
      </w:r>
      <w:r>
        <w:rPr>
          <w:rFonts w:ascii="Calibri" w:cs="Calibri" w:eastAsia="Calibri" w:hAnsi="Calibri"/>
          <w:color w:val="1C1917"/>
          <w:sz w:val="22"/>
          <w:szCs w:val="22"/>
        </w:rPr>
        <w:t xml:space="preserve">. Medarbejderen kan altid se sine egne registreringer i </w:t>
      </w:r>
      <w:r>
        <w:rPr>
          <w:rFonts w:ascii="Calibri" w:cs="Calibri" w:eastAsia="Calibri" w:hAnsi="Calibri"/>
          <w:color w:val="1C1917"/>
          <w:sz w:val="22"/>
          <w:szCs w:val="22"/>
          <w:shd w:fill="E8E6E1" w:color="auto" w:val="clear"/>
        </w:rPr>
        <w:t xml:space="preserve">[System]</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Pauser: </w:t>
      </w:r>
      <w:r>
        <w:rPr>
          <w:rFonts w:ascii="Calibri" w:cs="Calibri" w:eastAsia="Calibri" w:hAnsi="Calibri"/>
          <w:color w:val="1C1917"/>
          <w:sz w:val="22"/>
          <w:szCs w:val="22"/>
          <w:shd w:fill="E8E6E1" w:color="auto" w:val="clear"/>
        </w:rPr>
        <w:t xml:space="preserve">[Beskriv pauser, og om de er betalte]</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Overarbejde aftales på forhånd med nærmeste leder og registreres på samme måde. Registreringerne gemmes i 5 år.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Ferie, sygdom og andet fravær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Reglerne om retten til fravær og løn står i kontrakten, overenskomsten og lovgivningen. Håndbogen bør kun beskrive fremgangsmåden.</w:t>
      </w:r>
    </w:p>
    <w:p>
      <w:pPr>
        <w:keepNext/>
        <w:spacing w:after="80" w:before="220"/>
      </w:pPr>
      <w:r>
        <w:rPr>
          <w:rFonts w:ascii="Calibri" w:cs="Calibri" w:eastAsia="Calibri" w:hAnsi="Calibri"/>
          <w:b/>
          <w:bCs/>
          <w:color w:val="28394A"/>
          <w:sz w:val="22"/>
          <w:szCs w:val="22"/>
        </w:rPr>
        <w:t xml:space="preserve">Ferie og fridage</w:t>
      </w:r>
    </w:p>
    <w:p>
      <w:pPr>
        <w:spacing w:after="120" w:line="288" w:lineRule="auto"/>
      </w:pPr>
      <w:r>
        <w:rPr>
          <w:rFonts w:ascii="Calibri" w:cs="Calibri" w:eastAsia="Calibri" w:hAnsi="Calibri"/>
          <w:color w:val="1C1917"/>
          <w:sz w:val="22"/>
          <w:szCs w:val="22"/>
        </w:rPr>
        <w:t xml:space="preserve">Ferie aftales med nærmeste leder. Hovedferie ønskes senest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og øvrig ferie med mindst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ugers varsel via </w:t>
      </w:r>
      <w:r>
        <w:rPr>
          <w:rFonts w:ascii="Calibri" w:cs="Calibri" w:eastAsia="Calibri" w:hAnsi="Calibri"/>
          <w:color w:val="1C1917"/>
          <w:sz w:val="22"/>
          <w:szCs w:val="22"/>
          <w:shd w:fill="E8E6E1" w:color="auto" w:val="clear"/>
        </w:rPr>
        <w:t xml:space="preserve">[System]</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Sygemelding</w:t>
      </w:r>
    </w:p>
    <w:p>
      <w:pPr>
        <w:spacing w:after="120" w:line="288" w:lineRule="auto"/>
      </w:pPr>
      <w:r>
        <w:rPr>
          <w:rFonts w:ascii="Calibri" w:cs="Calibri" w:eastAsia="Calibri" w:hAnsi="Calibri"/>
          <w:color w:val="1C1917"/>
          <w:sz w:val="22"/>
          <w:szCs w:val="22"/>
        </w:rPr>
        <w:t xml:space="preserve">Ved sygdom skal medarbejderen melde sig syg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 </w:t>
      </w:r>
      <w:r>
        <w:rPr>
          <w:rFonts w:ascii="Calibri" w:cs="Calibri" w:eastAsia="Calibri" w:hAnsi="Calibri"/>
          <w:color w:val="1C1917"/>
          <w:sz w:val="22"/>
          <w:szCs w:val="22"/>
          <w:shd w:fill="E8E6E1" w:color="auto" w:val="clear"/>
        </w:rPr>
        <w:t xml:space="preserve">[telefonisk / via (System)]</w:t>
      </w:r>
      <w:r>
        <w:rPr>
          <w:rFonts w:ascii="Calibri" w:cs="Calibri" w:eastAsia="Calibri" w:hAnsi="Calibri"/>
          <w:color w:val="1C1917"/>
          <w:sz w:val="22"/>
          <w:szCs w:val="22"/>
        </w:rPr>
        <w:t xml:space="preserve"> senest kl. </w:t>
      </w:r>
      <w:r>
        <w:rPr>
          <w:rFonts w:ascii="Calibri" w:cs="Calibri" w:eastAsia="Calibri" w:hAnsi="Calibri"/>
          <w:color w:val="1C1917"/>
          <w:sz w:val="22"/>
          <w:szCs w:val="22"/>
          <w:shd w:fill="E8E6E1" w:color="auto" w:val="clear"/>
        </w:rPr>
        <w:t xml:space="preserve">[Tidspunkt]</w:t>
      </w:r>
      <w:r>
        <w:rPr>
          <w:rFonts w:ascii="Calibri" w:cs="Calibri" w:eastAsia="Calibri" w:hAnsi="Calibri"/>
          <w:color w:val="1C1917"/>
          <w:sz w:val="22"/>
          <w:szCs w:val="22"/>
        </w:rPr>
        <w:t xml:space="preserve"> på første sygedag og oplyse, hvornår medarbejderen forventer at være tilbage. Raskmelding sker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Virksomheden kan bede om dokumentation for sygdom, fx en tro og love-erklæring, en friattest eller en mulighedserklæring. Virksomheden betaler for lægeerklæringer, den beder om.</w:t>
      </w:r>
    </w:p>
    <w:p>
      <w:pPr>
        <w:spacing w:after="120" w:line="288" w:lineRule="auto"/>
      </w:pPr>
      <w:r>
        <w:rPr>
          <w:rFonts w:ascii="Calibri" w:cs="Calibri" w:eastAsia="Calibri" w:hAnsi="Calibri"/>
          <w:color w:val="1C1917"/>
          <w:sz w:val="22"/>
          <w:szCs w:val="22"/>
        </w:rPr>
        <w:t xml:space="preserve">Ved længere eller hyppigt fravær indkalder nærmeste leder til en sygefraværssamtale om, hvordan og hvornår medarbejderen kan vende tilbage.</w:t>
      </w:r>
    </w:p>
    <w:p>
      <w:pPr>
        <w:keepNext/>
        <w:spacing w:after="80" w:before="220"/>
      </w:pPr>
      <w:r>
        <w:rPr>
          <w:rFonts w:ascii="Calibri" w:cs="Calibri" w:eastAsia="Calibri" w:hAnsi="Calibri"/>
          <w:b/>
          <w:bCs/>
          <w:color w:val="28394A"/>
          <w:sz w:val="22"/>
          <w:szCs w:val="22"/>
        </w:rPr>
        <w:t xml:space="preserve">Barns sygdom, barsel og andet fravær</w:t>
      </w:r>
    </w:p>
    <w:p>
      <w:pPr>
        <w:spacing w:after="120" w:line="288" w:lineRule="auto"/>
      </w:pPr>
      <w:r>
        <w:rPr>
          <w:rFonts w:ascii="Calibri" w:cs="Calibri" w:eastAsia="Calibri" w:hAnsi="Calibri"/>
          <w:color w:val="1C1917"/>
          <w:sz w:val="22"/>
          <w:szCs w:val="22"/>
        </w:rPr>
        <w:t xml:space="preserve">Fravær ved barns sygdom, graviditet, barsel og forældreorlov meddeles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 så tidligt som muligt. Retten til fravær og løn følger ansættelseskontrakten, overenskomsten og lovgivningen.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Spørg ikke om, hvad medarbejderen fejler. Virksomheden må kun spørge, om sygdommen har betydning for arbejdet.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Rygepolitik</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Arbejdsgiveren skal have en skriftlig rygepolitik, der er tilgængelig for alle medarbejdere. Den skal mindst oplyse, om og hvor der må ryges, og hvad konsekvensen er af at overtræde den (lov om røgfri miljøer § 5). Der må ikke ryges indendørs på arbejdspladser, bortset fra fx rygerum og enkeltmandskøretøjer (§ 6).</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Arbejdsgiveren skal også have en skriftlig politik for, om og hvor der må bruges e-cigaretter (lov om elektroniske cigaretter § 4). Den kan stå i samme modul.</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må ikke ryges i virksomhedens bygninger, køretøjer eller på virksomhedens område.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må ikke ryges indendørs. Rygning er kun tilladt på </w:t>
      </w:r>
      <w:r>
        <w:rPr>
          <w:rFonts w:ascii="Calibri" w:cs="Calibri" w:eastAsia="Calibri" w:hAnsi="Calibri"/>
          <w:color w:val="1C1917"/>
          <w:sz w:val="22"/>
          <w:szCs w:val="22"/>
          <w:shd w:fill="E8E6E1" w:color="auto" w:val="clear"/>
        </w:rPr>
        <w:t xml:space="preserve">[Udendørs område]</w:t>
      </w:r>
      <w:r>
        <w:rPr>
          <w:rFonts w:ascii="Calibri" w:cs="Calibri" w:eastAsia="Calibri" w:hAnsi="Calibri"/>
          <w:color w:val="1C1917"/>
          <w:sz w:val="22"/>
          <w:szCs w:val="22"/>
        </w:rPr>
        <w:t xml:space="preserve">.</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Der må ikke ryges i arbejdstiden (røgfri arbejdstid), heller ikke uden for virksomhedens område.</w:t>
      </w:r>
    </w:p>
    <w:p>
      <w:pPr>
        <w:spacing w:after="120" w:line="288" w:lineRule="auto"/>
      </w:pPr>
      <w:r>
        <w:rPr>
          <w:rFonts w:ascii="Calibri" w:cs="Calibri" w:eastAsia="Calibri" w:hAnsi="Calibri"/>
          <w:color w:val="1C1917"/>
          <w:sz w:val="22"/>
          <w:szCs w:val="22"/>
        </w:rPr>
        <w:t xml:space="preserve">Politikken omfatter cigaretter, cigarer, pibe, e-cigaretter, opvarmede tobaksprodukter og lignende. Den gælder for medarbejdere, kunder, gæster og leverandører.</w:t>
      </w:r>
    </w:p>
    <w:p>
      <w:pPr>
        <w:spacing w:after="120" w:line="288" w:lineRule="auto"/>
      </w:pPr>
      <w:r>
        <w:rPr>
          <w:rFonts w:ascii="Calibri" w:cs="Calibri" w:eastAsia="Calibri" w:hAnsi="Calibri"/>
          <w:color w:val="1C1917"/>
          <w:sz w:val="22"/>
          <w:szCs w:val="22"/>
        </w:rPr>
        <w:t xml:space="preserve">E-cigaretter må </w:t>
      </w:r>
      <w:r>
        <w:rPr>
          <w:rFonts w:ascii="Calibri" w:cs="Calibri" w:eastAsia="Calibri" w:hAnsi="Calibri"/>
          <w:color w:val="1C1917"/>
          <w:sz w:val="22"/>
          <w:szCs w:val="22"/>
          <w:shd w:fill="E8E6E1" w:color="auto" w:val="clear"/>
        </w:rPr>
        <w:t xml:space="preserve">[ikke bruges / kun bruges samme steder som ved rygning / bruges (Hvor)]</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Overtrædelse af rygepolitikken behandles efter afsnittet Overtrædelse af reglerne. Typisk reaktion: </w:t>
      </w:r>
      <w:r>
        <w:rPr>
          <w:rFonts w:ascii="Calibri" w:cs="Calibri" w:eastAsia="Calibri" w:hAnsi="Calibri"/>
          <w:color w:val="1C1917"/>
          <w:sz w:val="22"/>
          <w:szCs w:val="22"/>
          <w:shd w:fill="E8E6E1" w:color="auto" w:val="clear"/>
        </w:rPr>
        <w:t xml:space="preserve">[Fx påtale første gang, derefter skriftlig advarsel]</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Medarbejdere, der vil holde op med at ryge, kan få hjælp via </w:t>
      </w:r>
      <w:r>
        <w:rPr>
          <w:rFonts w:ascii="Calibri" w:cs="Calibri" w:eastAsia="Calibri" w:hAnsi="Calibri"/>
          <w:color w:val="1C1917"/>
          <w:sz w:val="22"/>
          <w:szCs w:val="22"/>
          <w:shd w:fill="E8E6E1" w:color="auto" w:val="clear"/>
        </w:rPr>
        <w:t xml:space="preserve">[Fx Stoplinien, kommunens rygestoptilbud eller virksomhedens sundhedsordning]</w:t>
      </w:r>
      <w:r>
        <w:rPr>
          <w:rFonts w:ascii="Calibri" w:cs="Calibri" w:eastAsia="Calibri" w:hAnsi="Calibri"/>
          <w:color w:val="1C1917"/>
          <w:sz w:val="22"/>
          <w:szCs w:val="22"/>
        </w:rPr>
        <w:t xml:space="preserv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Alkohol og rusmidler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Særligt vigtigt ved sikkerhedskritisk arbejde (fx kørsel, maskiner). Test for alkohol eller stoffer kræver en saglig grund og forudgående information - se Datatilsynets vejledning.</w:t>
      </w:r>
    </w:p>
    <w:p>
      <w:pPr>
        <w:spacing w:after="120" w:line="288" w:lineRule="auto"/>
      </w:pPr>
      <w:r>
        <w:rPr>
          <w:rFonts w:ascii="Calibri" w:cs="Calibri" w:eastAsia="Calibri" w:hAnsi="Calibri"/>
          <w:color w:val="1C1917"/>
          <w:sz w:val="22"/>
          <w:szCs w:val="22"/>
        </w:rPr>
        <w:t xml:space="preserve">Det er ikke tilladt at møde på arbejde påvirket af alkohol eller rusmidler eller at indtage dem i arbejdstiden. </w:t>
      </w:r>
      <w:r>
        <w:rPr>
          <w:rFonts w:ascii="Calibri" w:cs="Calibri" w:eastAsia="Calibri" w:hAnsi="Calibri"/>
          <w:color w:val="1C1917"/>
          <w:sz w:val="22"/>
          <w:szCs w:val="22"/>
          <w:shd w:fill="E8E6E1" w:color="auto" w:val="clear"/>
        </w:rPr>
        <w:t xml:space="preserve">[Ved særlige arrangementer kan ledelsen tillade servering af alkohol.]</w:t>
      </w:r>
    </w:p>
    <w:p>
      <w:pPr>
        <w:spacing w:after="120" w:line="288" w:lineRule="auto"/>
      </w:pPr>
      <w:r>
        <w:rPr>
          <w:rFonts w:ascii="Calibri" w:cs="Calibri" w:eastAsia="Calibri" w:hAnsi="Calibri"/>
          <w:color w:val="1C1917"/>
          <w:sz w:val="22"/>
          <w:szCs w:val="22"/>
        </w:rPr>
        <w:t xml:space="preserve">Medarbejdere med et misbrug kan få hjælp. Henvend dig til </w:t>
      </w:r>
      <w:r>
        <w:rPr>
          <w:rFonts w:ascii="Calibri" w:cs="Calibri" w:eastAsia="Calibri" w:hAnsi="Calibri"/>
          <w:color w:val="1C1917"/>
          <w:sz w:val="22"/>
          <w:szCs w:val="22"/>
          <w:shd w:fill="E8E6E1" w:color="auto" w:val="clear"/>
        </w:rPr>
        <w:t xml:space="preserve">[nærmeste leder / personaleansvarlig]</w:t>
      </w:r>
      <w:r>
        <w:rPr>
          <w:rFonts w:ascii="Calibri" w:cs="Calibri" w:eastAsia="Calibri" w:hAnsi="Calibri"/>
          <w:color w:val="1C1917"/>
          <w:sz w:val="22"/>
          <w:szCs w:val="22"/>
        </w:rPr>
        <w:t xml:space="preserve">, som behandler henvendelsen fortroligt.</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Arbejdsmiljø og arbejdspladsvurdering (APV)</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Virksomheden skal have en skriftlig APV. Handlingsplanen skal være tilgængelig for ledelse, ansatte og Arbejdstilsynet, og arbejdsmiljøorganisationen eller de ansatte skal inddrages (arbejdsmiljøloven § 15 a). Oplys, hvor den findes.</w:t>
      </w:r>
    </w:p>
    <w:p>
      <w:pPr>
        <w:spacing w:after="120" w:line="288" w:lineRule="auto"/>
      </w:pPr>
      <w:r>
        <w:rPr>
          <w:rFonts w:ascii="Calibri" w:cs="Calibri" w:eastAsia="Calibri" w:hAnsi="Calibri"/>
          <w:color w:val="1C1917"/>
          <w:sz w:val="22"/>
          <w:szCs w:val="22"/>
        </w:rPr>
        <w:t xml:space="preserve">Virksomhedens arbejdspladsvurdering (APV) og handlingsplan findes </w:t>
      </w:r>
      <w:r>
        <w:rPr>
          <w:rFonts w:ascii="Calibri" w:cs="Calibri" w:eastAsia="Calibri" w:hAnsi="Calibri"/>
          <w:color w:val="1C1917"/>
          <w:sz w:val="22"/>
          <w:szCs w:val="22"/>
          <w:shd w:fill="E8E6E1" w:color="auto" w:val="clear"/>
        </w:rPr>
        <w:t xml:space="preserve">[Placering, fx på intranettet under (Sti)]</w:t>
      </w:r>
      <w:r>
        <w:rPr>
          <w:rFonts w:ascii="Calibri" w:cs="Calibri" w:eastAsia="Calibri" w:hAnsi="Calibri"/>
          <w:color w:val="1C1917"/>
          <w:sz w:val="22"/>
          <w:szCs w:val="22"/>
        </w:rPr>
        <w:t xml:space="preserve">. APV'en gennemgås mindst hvert 3. år og ved ændringer i arbejdet, der kan have betydning for arbejdsmiljøet.</w:t>
      </w:r>
    </w:p>
    <w:p>
      <w:pPr>
        <w:spacing w:after="120" w:line="288" w:lineRule="auto"/>
      </w:pPr>
      <w:r>
        <w:rPr>
          <w:rFonts w:ascii="Calibri" w:cs="Calibri" w:eastAsia="Calibri" w:hAnsi="Calibri"/>
          <w:color w:val="1C1917"/>
          <w:sz w:val="22"/>
          <w:szCs w:val="22"/>
        </w:rPr>
        <w:t xml:space="preserve">Alle medarbejdere skal følge sikkerhedsreglerne, bruge de udleverede værnemidler og straks melde fejl og farlige forhold til </w:t>
      </w:r>
      <w:r>
        <w:rPr>
          <w:rFonts w:ascii="Calibri" w:cs="Calibri" w:eastAsia="Calibri" w:hAnsi="Calibri"/>
          <w:color w:val="1C1917"/>
          <w:sz w:val="22"/>
          <w:szCs w:val="22"/>
          <w:shd w:fill="E8E6E1" w:color="auto" w:val="clear"/>
        </w:rPr>
        <w:t xml:space="preserve">[nærmeste leder / arbejdsmiljørepræsentanten]</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Arbejdsulykker og nærved-ulykker meldes straks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 Virksomheden anmelder arbejdsulykker efter reglerne.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Krænkende handlinger, chikane og vold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Arbejdsgiveren skal forebygge og håndtere krænkende handlinger, herunder mobning og seksuel chikane, og vold (bekendtgørelse om psykisk arbejdsmiljø og ligebehandlingsloven). En skriftlig politik med en klar procedure dokumenterer, at virksomheden gør det. Brug gerne lovens definitioner.</w:t>
      </w:r>
    </w:p>
    <w:p>
      <w:pPr>
        <w:spacing w:after="120" w:line="288" w:lineRule="auto"/>
      </w:pP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accepterer ikke mobning, chikane, seksuel chikane, vold eller trusler - hverken mellem kolleger eller fra kunder, gæster eller samarbejdspartnere.</w:t>
      </w:r>
    </w:p>
    <w:p>
      <w:pPr>
        <w:spacing w:after="120" w:line="288" w:lineRule="auto"/>
      </w:pPr>
      <w:r>
        <w:rPr>
          <w:rFonts w:ascii="Calibri" w:cs="Calibri" w:eastAsia="Calibri" w:hAnsi="Calibri"/>
          <w:color w:val="1C1917"/>
          <w:sz w:val="22"/>
          <w:szCs w:val="22"/>
        </w:rPr>
        <w:t xml:space="preserve">Krænkende handlinger er handlinger, der krænker en persons værdighed, og som skaber et truende, fjendtligt, nedværdigende, ydmygende eller ubehageligt klima. Seksuel chikane er enhver form for uønsket verbal, ikkeverbal eller fysisk adfærd med seksuelle undertoner.</w:t>
      </w:r>
    </w:p>
    <w:p>
      <w:pPr>
        <w:keepNext/>
        <w:spacing w:after="80" w:before="220"/>
      </w:pPr>
      <w:r>
        <w:rPr>
          <w:rFonts w:ascii="Calibri" w:cs="Calibri" w:eastAsia="Calibri" w:hAnsi="Calibri"/>
          <w:b/>
          <w:bCs/>
          <w:color w:val="28394A"/>
          <w:sz w:val="22"/>
          <w:szCs w:val="22"/>
        </w:rPr>
        <w:t xml:space="preserve">Sådan siger du fra</w:t>
      </w:r>
    </w:p>
    <w:p>
      <w:pPr>
        <w:spacing w:after="120" w:line="288" w:lineRule="auto"/>
      </w:pPr>
      <w:r>
        <w:rPr>
          <w:rFonts w:ascii="Calibri" w:cs="Calibri" w:eastAsia="Calibri" w:hAnsi="Calibri"/>
          <w:color w:val="1C1917"/>
          <w:sz w:val="22"/>
          <w:szCs w:val="22"/>
        </w:rPr>
        <w:t xml:space="preserve">Oplever du eller ser du krænkende handlinger, kan du henvende dig til: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Nærmeste leder eller dennes leder.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Arbejdsmiljørepræsentanten: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Tillidsrepræsentanten: </w:t>
      </w:r>
      <w:r>
        <w:rPr>
          <w:rFonts w:ascii="Calibri" w:cs="Calibri" w:eastAsia="Calibri" w:hAnsi="Calibri"/>
          <w:color w:val="1C1917"/>
          <w:sz w:val="22"/>
          <w:szCs w:val="22"/>
          <w:shd w:fill="E8E6E1" w:color="auto" w:val="clear"/>
        </w:rPr>
        <w:t xml:space="preserve">[Navn]</w:t>
      </w:r>
      <w:r>
        <w:rPr>
          <w:rFonts w:ascii="Calibri" w:cs="Calibri" w:eastAsia="Calibri" w:hAnsi="Calibri"/>
          <w:color w:val="1C1917"/>
          <w:sz w:val="22"/>
          <w:szCs w:val="22"/>
        </w:rPr>
        <w:t xml:space="preserv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shd w:fill="E8E6E1" w:color="auto" w:val="clear"/>
        </w:rPr>
        <w:t xml:space="preserve">[Ekstern rådgiver eller anden kontaktperson]</w:t>
      </w:r>
      <w:r>
        <w:rPr>
          <w:rFonts w:ascii="Calibri" w:cs="Calibri" w:eastAsia="Calibri" w:hAnsi="Calibri"/>
          <w:color w:val="1C1917"/>
          <w:sz w:val="22"/>
          <w:szCs w:val="22"/>
        </w:rPr>
        <w:t xml:space="preserve">.</w:t>
      </w:r>
    </w:p>
    <w:p>
      <w:pPr>
        <w:keepNext/>
        <w:spacing w:after="80" w:before="220"/>
      </w:pPr>
      <w:r>
        <w:rPr>
          <w:rFonts w:ascii="Calibri" w:cs="Calibri" w:eastAsia="Calibri" w:hAnsi="Calibri"/>
          <w:b/>
          <w:bCs/>
          <w:color w:val="28394A"/>
          <w:sz w:val="22"/>
          <w:szCs w:val="22"/>
        </w:rPr>
        <w:t xml:space="preserve">Sådan behandler vi sagen</w:t>
      </w:r>
    </w:p>
    <w:p>
      <w:pPr>
        <w:spacing w:after="120" w:line="288" w:lineRule="auto"/>
      </w:pPr>
      <w:r>
        <w:rPr>
          <w:rFonts w:ascii="Calibri" w:cs="Calibri" w:eastAsia="Calibri" w:hAnsi="Calibri"/>
          <w:color w:val="1C1917"/>
          <w:sz w:val="22"/>
          <w:szCs w:val="22"/>
        </w:rPr>
        <w:t xml:space="preserve">Henvendelsen behandles hurtigt og så fortroligt som muligt. Ledelsen taler med de involverede, vurderer sagen og beslutter, hvad der skal ske. Begge parter får mulighed for at give deres version. Den, der har henvendt sig, får besked om, at sagen er afsluttet.</w:t>
      </w:r>
    </w:p>
    <w:p>
      <w:pPr>
        <w:spacing w:after="120" w:line="288" w:lineRule="auto"/>
      </w:pPr>
      <w:r>
        <w:rPr>
          <w:rFonts w:ascii="Calibri" w:cs="Calibri" w:eastAsia="Calibri" w:hAnsi="Calibri"/>
          <w:color w:val="1C1917"/>
          <w:sz w:val="22"/>
          <w:szCs w:val="22"/>
        </w:rPr>
        <w:t xml:space="preserve">Ingen må udsættes for negative følger af at have klaget eller vidnet i god tro. Krænkende handlinger kan føre til advarsel, opsigelse eller bortvisning.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Whistleblowerordning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Betinget.</w:t>
      </w:r>
      <w:r>
        <w:rPr>
          <w:rFonts w:ascii="Calibri" w:cs="Calibri" w:eastAsia="Calibri" w:hAnsi="Calibri"/>
          <w:color w:val="3F3A33"/>
          <w:sz w:val="19"/>
          <w:szCs w:val="19"/>
        </w:rPr>
        <w:t xml:space="preserve"> Lovpligtig for arbejdsgivere med 50 eller flere ansatte (whistleblowerloven § 9). Visse virksomheder i den finansielle sektor og virksomheder under hvidvaskloven skal have en ordning uanset antal ansatte. Andre kan oprette en frivilligt.</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Ordningen skal sikre fortrolighed og drives af en upartisk person, afdeling eller ekstern leverandør (§§ 11-12). En e-mailadresse hos HR-chefen er normalt ikke nok. Whistlebloweren skal have en kvittering inden 7 dage og feedback inden 3 måneder (§ 12, stk. 2). Medarbejderne skal have klar information om, hvordan de indberetter internt og eksternt (§ 13).</w:t>
      </w:r>
    </w:p>
    <w:p>
      <w:pPr>
        <w:spacing w:after="120" w:line="288" w:lineRule="auto"/>
      </w:pPr>
      <w:r>
        <w:rPr>
          <w:rFonts w:ascii="Calibri" w:cs="Calibri" w:eastAsia="Calibri" w:hAnsi="Calibri"/>
          <w:color w:val="1C1917"/>
          <w:sz w:val="22"/>
          <w:szCs w:val="22"/>
        </w:rPr>
        <w:t xml:space="preserve">Virksomheden har en whistleblowerordning, hvor medarbejdere og andre kan indberette alvorlige lovovertrædelser og andre alvorlige forhold i virksomheden, herunder </w:t>
      </w:r>
      <w:r>
        <w:rPr>
          <w:rFonts w:ascii="Calibri" w:cs="Calibri" w:eastAsia="Calibri" w:hAnsi="Calibri"/>
          <w:color w:val="1C1917"/>
          <w:sz w:val="22"/>
          <w:szCs w:val="22"/>
          <w:shd w:fill="E8E6E1" w:color="auto" w:val="clear"/>
        </w:rPr>
        <w:t xml:space="preserve">[Område, fx overtrædelser af EU-ret, økonomisk kriminalitet, chikane]</w:t>
      </w:r>
      <w:r>
        <w:rPr>
          <w:rFonts w:ascii="Calibri" w:cs="Calibri" w:eastAsia="Calibri" w:hAnsi="Calibri"/>
          <w:color w:val="1C1917"/>
          <w:sz w:val="22"/>
          <w:szCs w:val="22"/>
        </w:rPr>
        <w:t xml:space="preserve">.</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Indberetning</w:t>
      </w:r>
      <w:r>
        <w:t xml:space="preserve">	</w:t>
      </w:r>
      <w:r>
        <w:rPr>
          <w:rFonts w:ascii="Calibri" w:cs="Calibri" w:eastAsia="Calibri" w:hAnsi="Calibri"/>
          <w:color w:val="1C1917"/>
          <w:sz w:val="22"/>
          <w:szCs w:val="22"/>
          <w:shd w:fill="E8E6E1" w:color="auto" w:val="clear"/>
        </w:rPr>
        <w:t xml:space="preserve">[Link til portal, adresse eller telefonnummer]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Behandles af</w:t>
      </w:r>
      <w:r>
        <w:t xml:space="preserve">	</w:t>
      </w:r>
      <w:r>
        <w:rPr>
          <w:rFonts w:ascii="Calibri" w:cs="Calibri" w:eastAsia="Calibri" w:hAnsi="Calibri"/>
          <w:color w:val="1C1917"/>
          <w:sz w:val="22"/>
          <w:szCs w:val="22"/>
          <w:shd w:fill="E8E6E1" w:color="auto" w:val="clear"/>
        </w:rPr>
        <w:t xml:space="preserve">[Navn på uvildig enhed eller ekstern leverandør]</w:t>
      </w:r>
    </w:p>
    <w:p>
      <w:pPr>
        <w:spacing w:after="120" w:line="288" w:lineRule="auto"/>
      </w:pPr>
      <w:r>
        <w:rPr>
          <w:rFonts w:ascii="Calibri" w:cs="Calibri" w:eastAsia="Calibri" w:hAnsi="Calibri"/>
          <w:color w:val="1C1917"/>
          <w:sz w:val="22"/>
          <w:szCs w:val="22"/>
        </w:rPr>
        <w:t xml:space="preserve">Du får en kvittering for modtagelsen inden 7 dage og feedback om opfølgningen inden 3 måneder. Du kan også indberette til den eksterne whistleblowerordning hos Datatilsynet eller den myndighed, der er særligt udpeget for området.</w:t>
      </w:r>
    </w:p>
    <w:p>
      <w:pPr>
        <w:spacing w:after="120" w:line="288" w:lineRule="auto"/>
      </w:pPr>
      <w:r>
        <w:rPr>
          <w:rFonts w:ascii="Calibri" w:cs="Calibri" w:eastAsia="Calibri" w:hAnsi="Calibri"/>
          <w:color w:val="1C1917"/>
          <w:sz w:val="22"/>
          <w:szCs w:val="22"/>
        </w:rPr>
        <w:t xml:space="preserve">Den, der indberetter i god tro, er beskyttet mod repressalier.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Persondata om medarbejdere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Lovpligtigt.</w:t>
      </w:r>
      <w:r>
        <w:rPr>
          <w:rFonts w:ascii="Calibri" w:cs="Calibri" w:eastAsia="Calibri" w:hAnsi="Calibri"/>
          <w:color w:val="3F3A33"/>
          <w:sz w:val="19"/>
          <w:szCs w:val="19"/>
        </w:rPr>
        <w:t xml:space="preserve"> Medarbejdere skal informeres om, hvordan virksomheden behandler deres personoplysninger (databeskyttelsesforordningen art. 13-14). Informationen kan stå her eller i et særskilt dokument, som håndbogen henviser til. Tilpas listen nedenfor til virksomhedens faktiske behandling, og angiv konkrete slettefrister.</w:t>
      </w:r>
    </w:p>
    <w:p>
      <w:pPr>
        <w:spacing w:after="120" w:line="288" w:lineRule="auto"/>
      </w:pP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 CVR-nr. </w:t>
      </w:r>
      <w:r>
        <w:rPr>
          <w:rFonts w:ascii="Calibri" w:cs="Calibri" w:eastAsia="Calibri" w:hAnsi="Calibri"/>
          <w:color w:val="1C1917"/>
          <w:sz w:val="22"/>
          <w:szCs w:val="22"/>
          <w:shd w:fill="E8E6E1" w:color="auto" w:val="clear"/>
        </w:rPr>
        <w:t xml:space="preserve">[CVR-nr.]</w:t>
      </w:r>
      <w:r>
        <w:rPr>
          <w:rFonts w:ascii="Calibri" w:cs="Calibri" w:eastAsia="Calibri" w:hAnsi="Calibri"/>
          <w:color w:val="1C1917"/>
          <w:sz w:val="22"/>
          <w:szCs w:val="22"/>
        </w:rPr>
        <w:t xml:space="preserve">, er dataansvarlig for de oplysninger, vi behandler om dig. Kontakt: </w:t>
      </w:r>
      <w:r>
        <w:rPr>
          <w:rFonts w:ascii="Calibri" w:cs="Calibri" w:eastAsia="Calibri" w:hAnsi="Calibri"/>
          <w:color w:val="1C1917"/>
          <w:sz w:val="22"/>
          <w:szCs w:val="22"/>
          <w:shd w:fill="E8E6E1" w:color="auto" w:val="clear"/>
        </w:rPr>
        <w:t xml:space="preserve">[Navn og e-mail / databeskyttelsesrådgiver]</w:t>
      </w:r>
      <w:r>
        <w:rPr>
          <w:rFonts w:ascii="Calibri" w:cs="Calibri" w:eastAsia="Calibri" w:hAnsi="Calibri"/>
          <w:color w:val="1C1917"/>
          <w:sz w:val="22"/>
          <w:szCs w:val="22"/>
        </w:rPr>
        <w:t xml:space="preserve">.</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814"/>
        <w:gridCol w:w="2721"/>
        <w:gridCol w:w="1814"/>
        <w:gridCol w:w="1814"/>
        <w:gridCol w:w="907"/>
      </w:tblGrid>
      <w:tr>
        <w:trPr>
          <w:tblHeader/>
        </w:trPr>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Formål</w:t>
            </w:r>
          </w:p>
        </w:tc>
        <w:tc>
          <w:tcPr>
            <w:tcW w:type="dxa" w:w="2721"/>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Oplysninger</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Retsgrundlag</w:t>
            </w:r>
          </w:p>
        </w:tc>
        <w:tc>
          <w:tcPr>
            <w:tcW w:type="dxa" w:w="1814"/>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Modtagere</w:t>
            </w:r>
          </w:p>
        </w:tc>
        <w:tc>
          <w:tcPr>
            <w:tcW w:type="dxa" w:w="907"/>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Opbevaring</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Lønudbetaling og indberetning</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[Navn, CPR-nr., kontonr., løn, skattekort]</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retlig forpligtelse og kontrakt]</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[Skattestyrelsen, lønbureau, pensionsselskab]</w:t>
            </w:r>
          </w:p>
        </w:tc>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b w:val="false"/>
                <w:bCs w:val="false"/>
                <w:color w:val="1C1917"/>
                <w:sz w:val="19"/>
                <w:szCs w:val="19"/>
              </w:rPr>
              <w:t xml:space="preserve">Administration af ansættelsen</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[Kontrakt, fravær, advarsler, udviklingssamtaler]</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kontrakt og legitim interesse]</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[Nærmeste leder, HR]</w:t>
            </w:r>
          </w:p>
        </w:tc>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r>
      <w:tr>
        <w:trPr>
          <w:cantSplit/>
        </w:trPr>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[Formål]</w:t>
            </w:r>
          </w:p>
        </w:tc>
        <w:tc>
          <w:tcPr>
            <w:tcW w:type="dxa" w:w="2721"/>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[Retsgrundlag]</w:t>
            </w:r>
          </w:p>
        </w:tc>
        <w:tc>
          <w:tcPr>
            <w:tcW w:type="dxa" w:w="1814"/>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[Modtagere]</w:t>
            </w:r>
          </w:p>
        </w:tc>
        <w:tc>
          <w:tcPr>
            <w:tcW w:type="dxa" w:w="907"/>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r>
    </w:tbl>
    <w:p>
      <w:pPr>
        <w:spacing w:after="160"/>
      </w:pPr>
    </w:p>
    <w:p>
      <w:pPr>
        <w:spacing w:after="120" w:line="288" w:lineRule="auto"/>
      </w:pPr>
      <w:r>
        <w:rPr>
          <w:rFonts w:ascii="Calibri" w:cs="Calibri" w:eastAsia="Calibri" w:hAnsi="Calibri"/>
          <w:color w:val="1C1917"/>
          <w:sz w:val="22"/>
          <w:szCs w:val="22"/>
        </w:rPr>
        <w:t xml:space="preserve">Du har ret til indsigt i de oplysninger, vi behandler om dig, og i visse tilfælde ret til berigtigelse, sletning, begrænsning og indsigelse. Du kan klage til Datatilsynet.</w:t>
      </w:r>
    </w:p>
    <w:p>
      <w:pPr>
        <w:spacing w:after="120" w:line="288" w:lineRule="auto"/>
      </w:pPr>
      <w:r>
        <w:rPr>
          <w:rFonts w:ascii="Calibri" w:cs="Calibri" w:eastAsia="Calibri" w:hAnsi="Calibri"/>
          <w:color w:val="1C1917"/>
          <w:sz w:val="22"/>
          <w:szCs w:val="22"/>
        </w:rPr>
        <w:t xml:space="preserve">En skriftlig advarsel indgår i din personalemappe i </w:t>
      </w:r>
      <w:r>
        <w:rPr>
          <w:rFonts w:ascii="Calibri" w:cs="Calibri" w:eastAsia="Calibri" w:hAnsi="Calibri"/>
          <w:color w:val="1C1917"/>
          <w:sz w:val="22"/>
          <w:szCs w:val="22"/>
          <w:shd w:fill="E8E6E1" w:color="auto" w:val="clear"/>
        </w:rPr>
        <w:t xml:space="preserve">[Periode]</w:t>
      </w:r>
      <w:r>
        <w:rPr>
          <w:rFonts w:ascii="Calibri" w:cs="Calibri" w:eastAsia="Calibri" w:hAnsi="Calibri"/>
          <w:color w:val="1C1917"/>
          <w:sz w:val="22"/>
          <w:szCs w:val="22"/>
        </w:rPr>
        <w:t xml:space="preserve">, hvorefter den ikke længere tillægges betydning.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Kontrolforanstaltninger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b/>
          <w:bCs/>
          <w:color w:val="3F3A33"/>
          <w:sz w:val="19"/>
          <w:szCs w:val="19"/>
        </w:rPr>
        <w:t xml:space="preserve">Betinget.</w:t>
      </w:r>
      <w:r>
        <w:rPr>
          <w:rFonts w:ascii="Calibri" w:cs="Calibri" w:eastAsia="Calibri" w:hAnsi="Calibri"/>
          <w:color w:val="3F3A33"/>
          <w:sz w:val="19"/>
          <w:szCs w:val="19"/>
        </w:rPr>
        <w:t xml:space="preserve"> Lovpligtigt, når virksomheden bruger kontrol, fx logning af IT og e-mail, GPS i køretøjer, adgangskort eller tv-overvågning. Medarbejderne skal informeres på forhånd om formål, hvilke oplysninger der indsamles, hvem der har adgang, hvor længe de gemmes, og om oplysningerne bliver gennemgået. På DA/LO-området skal nye kontrolforanstaltninger varsles senest 6 uger før, de tages i brug (aftalen om kontrolforanstaltninger). Andre områder kan have egne aftaler.</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Ved tv-overvågning skal der skiltes (tv-overvågningsloven). Se Datatilsynets vejledning "Kontrol af medarbejdere".</w:t>
      </w:r>
    </w:p>
    <w:p>
      <w:pPr>
        <w:spacing w:after="120" w:line="288" w:lineRule="auto"/>
      </w:pPr>
      <w:r>
        <w:rPr>
          <w:rFonts w:ascii="Calibri" w:cs="Calibri" w:eastAsia="Calibri" w:hAnsi="Calibri"/>
          <w:color w:val="1C1917"/>
          <w:sz w:val="22"/>
          <w:szCs w:val="22"/>
        </w:rPr>
        <w:t xml:space="preserve">Virksomheden bruger følgende kontrolforanstaltninger:</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2016"/>
        <w:gridCol w:w="2016"/>
        <w:gridCol w:w="2016"/>
        <w:gridCol w:w="1008"/>
        <w:gridCol w:w="1008"/>
        <w:gridCol w:w="1008"/>
      </w:tblGrid>
      <w:tr>
        <w:trPr>
          <w:tblHeader/>
        </w:trPr>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Foranstaltning</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Formål</w:t>
            </w:r>
          </w:p>
        </w:tc>
        <w:tc>
          <w:tcPr>
            <w:tcW w:type="dxa" w:w="2016"/>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Oplysninger</w:t>
            </w:r>
          </w:p>
        </w:tc>
        <w:tc>
          <w:tcPr>
            <w:tcW w:type="dxa" w:w="10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Adgang</w:t>
            </w:r>
          </w:p>
        </w:tc>
        <w:tc>
          <w:tcPr>
            <w:tcW w:type="dxa" w:w="10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Opbevaring</w:t>
            </w:r>
          </w:p>
        </w:tc>
        <w:tc>
          <w:tcPr>
            <w:tcW w:type="dxa" w:w="1008"/>
            <w:tcBorders>
              <w:top w:val="single" w:color="D9DDE1" w:sz="4"/>
              <w:left w:val="single" w:color="D9DDE1" w:sz="4"/>
              <w:bottom w:val="single" w:color="D9DDE1" w:sz="4"/>
              <w:right w:val="single" w:color="D9DDE1" w:sz="4"/>
            </w:tcBorders>
            <w:shd w:fill="EEF1F4" w:color="auto" w:val="clear"/>
            <w:tcMar>
              <w:top w:type="dxa" w:w="70"/>
              <w:left w:type="dxa" w:w="110"/>
              <w:bottom w:type="dxa" w:w="70"/>
              <w:right w:type="dxa" w:w="110"/>
            </w:tcMar>
          </w:tcPr>
          <w:p>
            <w:pPr>
              <w:spacing w:after="0" w:line="260" w:lineRule="auto"/>
            </w:pPr>
            <w:r>
              <w:rPr>
                <w:rFonts w:ascii="Calibri" w:cs="Calibri" w:eastAsia="Calibri" w:hAnsi="Calibri"/>
                <w:b/>
                <w:bCs/>
                <w:color w:val="28394A"/>
                <w:sz w:val="18"/>
                <w:szCs w:val="18"/>
              </w:rPr>
              <w:t xml:space="preserve">Gennemgås</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logning af IT og e-mail]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[Formål]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[Hvem]</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[Hvornår / ved mistanke]</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GPS i firmabiler]</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[Formål]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[Hvem]</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[Hvornår]</w:t>
            </w:r>
          </w:p>
        </w:tc>
      </w:tr>
      <w:tr>
        <w:trPr>
          <w:cantSplit/>
        </w:trPr>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[Fx tv-overvågning]</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[Formål]</w:t>
            </w:r>
          </w:p>
        </w:tc>
        <w:tc>
          <w:tcPr>
            <w:tcW w:type="dxa" w:w="2016"/>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[Oplysninger]</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[Hvem]</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[Periode]</w:t>
            </w:r>
          </w:p>
        </w:tc>
        <w:tc>
          <w:tcPr>
            <w:tcW w:type="dxa" w:w="1008"/>
            <w:tcBorders>
              <w:top w:val="single" w:color="D9DDE1" w:sz="4"/>
              <w:left w:val="single" w:color="D9DDE1" w:sz="4"/>
              <w:bottom w:val="single" w:color="D9DDE1" w:sz="4"/>
              <w:right w:val="single" w:color="D9DDE1" w:sz="4"/>
            </w:tcBorders>
            <w:tcMar>
              <w:top w:type="dxa" w:w="70"/>
              <w:left w:type="dxa" w:w="110"/>
              <w:bottom w:type="dxa" w:w="70"/>
              <w:right w:type="dxa" w:w="110"/>
            </w:tcMar>
          </w:tcPr>
          <w:p>
            <w:pPr>
              <w:spacing w:after="0" w:line="260" w:lineRule="auto"/>
            </w:pPr>
            <w:r>
              <w:rPr>
                <w:rFonts w:ascii="Calibri" w:cs="Calibri" w:eastAsia="Calibri" w:hAnsi="Calibri"/>
                <w:color w:val="1C1917"/>
                <w:sz w:val="19"/>
                <w:szCs w:val="19"/>
                <w:shd w:fill="E8E6E1" w:color="auto" w:val="clear"/>
              </w:rPr>
              <w:t xml:space="preserve">[Hvornår]</w:t>
            </w:r>
          </w:p>
        </w:tc>
      </w:tr>
    </w:tbl>
    <w:p>
      <w:pPr>
        <w:spacing w:after="160"/>
      </w:pPr>
    </w:p>
    <w:p>
      <w:pPr>
        <w:spacing w:after="120" w:line="288" w:lineRule="auto"/>
      </w:pPr>
      <w:r>
        <w:rPr>
          <w:rFonts w:ascii="Calibri" w:cs="Calibri" w:eastAsia="Calibri" w:hAnsi="Calibri"/>
          <w:color w:val="1C1917"/>
          <w:sz w:val="22"/>
          <w:szCs w:val="22"/>
        </w:rPr>
        <w:t xml:space="preserve">Nye kontrolforanstaltninger, eller ændringer af de eksisterende, varsles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før de tages i brug.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IT, e-mail, telefon og sociale medier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Reglerne om privat brug har betydning for, hvornår virksomheden må åbne en medarbejders e-mail. Skriv klart, at private e-mails skal markeres eller lægges i en særlig mappe.</w:t>
      </w:r>
    </w:p>
    <w:p>
      <w:pPr>
        <w:spacing w:after="120" w:line="288" w:lineRule="auto"/>
      </w:pPr>
      <w:r>
        <w:rPr>
          <w:rFonts w:ascii="Calibri" w:cs="Calibri" w:eastAsia="Calibri" w:hAnsi="Calibri"/>
          <w:color w:val="1C1917"/>
          <w:sz w:val="22"/>
          <w:szCs w:val="22"/>
        </w:rPr>
        <w:t xml:space="preserve">Virksomhedens IT-udstyr, e-mail og telefoner er arbejdsredskaber. Begrænset privat brug er tilladt, når det ikke går ud over arbejdet eller IT-sikkerheden. Private e-mails gemmes i en mappe med navnet "Privat".</w:t>
      </w:r>
    </w:p>
    <w:p>
      <w:pPr>
        <w:spacing w:after="120" w:line="288" w:lineRule="auto"/>
      </w:pPr>
      <w:r>
        <w:rPr>
          <w:rFonts w:ascii="Calibri" w:cs="Calibri" w:eastAsia="Calibri" w:hAnsi="Calibri"/>
          <w:color w:val="1C1917"/>
          <w:sz w:val="22"/>
          <w:szCs w:val="22"/>
        </w:rPr>
        <w:t xml:space="preserve">Adgangskoder er personlige og må ikke deles. Mistanke om phishing, virus eller tab af udstyr meldes straks til </w:t>
      </w:r>
      <w:r>
        <w:rPr>
          <w:rFonts w:ascii="Calibri" w:cs="Calibri" w:eastAsia="Calibri" w:hAnsi="Calibri"/>
          <w:color w:val="1C1917"/>
          <w:sz w:val="22"/>
          <w:szCs w:val="22"/>
          <w:shd w:fill="E8E6E1" w:color="auto" w:val="clear"/>
        </w:rPr>
        <w:t xml:space="preserve">[IT-support]</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Medarbejdere må ikke udtale sig på virksomhedens vegne på sociale medier uden aftale. Ytringer som privatperson er tilladt, men må ikke afsløre fortrolige oplysninger.</w:t>
      </w:r>
    </w:p>
    <w:p>
      <w:pPr>
        <w:spacing w:after="120" w:line="288" w:lineRule="auto"/>
      </w:pPr>
      <w:r>
        <w:rPr>
          <w:rFonts w:ascii="Calibri" w:cs="Calibri" w:eastAsia="Calibri" w:hAnsi="Calibri"/>
          <w:color w:val="1C1917"/>
          <w:sz w:val="22"/>
          <w:szCs w:val="22"/>
        </w:rPr>
        <w:t xml:space="preserve">Ved fratræden lukkes adgangen til e-mail og systemer. Der sættes et autosvar op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uger. Private filer og e-mails slettes eller udleveres efter aftale.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Hjemmearbejde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Hjemmearbejde i håndbogen kan ændres. Hjemmearbejde i kontrakten er et individuelt vilkår. Arbejdsmiljøreglerne gælder også for arbejde hjemme.</w:t>
      </w:r>
    </w:p>
    <w:p>
      <w:pPr>
        <w:spacing w:after="120" w:line="288" w:lineRule="auto"/>
      </w:pPr>
      <w:r>
        <w:rPr>
          <w:rFonts w:ascii="Calibri" w:cs="Calibri" w:eastAsia="Calibri" w:hAnsi="Calibri"/>
          <w:color w:val="1C1917"/>
          <w:sz w:val="22"/>
          <w:szCs w:val="22"/>
        </w:rPr>
        <w:t xml:space="preserve">Medarbejdere kan arbejde hjemme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om ugen efter aftale med nærmeste leder, når arbejdet tillader det. Virksomheden kan ændre ordningen med </w:t>
      </w:r>
      <w:r>
        <w:rPr>
          <w:rFonts w:ascii="Calibri" w:cs="Calibri" w:eastAsia="Calibri" w:hAnsi="Calibri"/>
          <w:color w:val="1C1917"/>
          <w:sz w:val="22"/>
          <w:szCs w:val="22"/>
          <w:shd w:fill="E8E6E1" w:color="auto" w:val="clear"/>
        </w:rPr>
        <w:t xml:space="preserve">[Varsel]</w:t>
      </w:r>
      <w:r>
        <w:rPr>
          <w:rFonts w:ascii="Calibri" w:cs="Calibri" w:eastAsia="Calibri" w:hAnsi="Calibri"/>
          <w:color w:val="1C1917"/>
          <w:sz w:val="22"/>
          <w:szCs w:val="22"/>
        </w:rPr>
        <w:t xml:space="preserve"> varsel.</w:t>
      </w:r>
    </w:p>
    <w:p>
      <w:pPr>
        <w:spacing w:after="120" w:line="288" w:lineRule="auto"/>
      </w:pPr>
      <w:r>
        <w:rPr>
          <w:rFonts w:ascii="Calibri" w:cs="Calibri" w:eastAsia="Calibri" w:hAnsi="Calibri"/>
          <w:color w:val="1C1917"/>
          <w:sz w:val="22"/>
          <w:szCs w:val="22"/>
        </w:rPr>
        <w:t xml:space="preserve">Ved hjemmearbejde gælder virksomhedens regler om arbejdstid, IT-sikkerhed og fortrolighed. Udstyr stilles til rådighed efter </w:t>
      </w:r>
      <w:r>
        <w:rPr>
          <w:rFonts w:ascii="Calibri" w:cs="Calibri" w:eastAsia="Calibri" w:hAnsi="Calibri"/>
          <w:color w:val="1C1917"/>
          <w:sz w:val="22"/>
          <w:szCs w:val="22"/>
          <w:shd w:fill="E8E6E1" w:color="auto" w:val="clear"/>
        </w:rPr>
        <w:t xml:space="preserve">[Beskrivelse]</w:t>
      </w:r>
      <w:r>
        <w:rPr>
          <w:rFonts w:ascii="Calibri" w:cs="Calibri" w:eastAsia="Calibri" w:hAnsi="Calibri"/>
          <w:color w:val="1C1917"/>
          <w:sz w:val="22"/>
          <w:szCs w:val="22"/>
        </w:rPr>
        <w:t xml:space="preserve">. Arbejdsskader under hjemmearbejde er dækket af arbejdsskadeforsikringen efter de almindelige regler.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Personalegoder</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Skriv udtrykkeligt, at goderne kan ændres eller ophøre. Ellers kan de blive individuelle vilkår, som kun kan ændres med varsel.</w:t>
      </w:r>
    </w:p>
    <w:p>
      <w:pPr>
        <w:spacing w:after="120" w:line="288" w:lineRule="auto"/>
      </w:pPr>
      <w:r>
        <w:rPr>
          <w:rFonts w:ascii="Calibri" w:cs="Calibri" w:eastAsia="Calibri" w:hAnsi="Calibri"/>
          <w:color w:val="1C1917"/>
          <w:sz w:val="22"/>
          <w:szCs w:val="22"/>
        </w:rPr>
        <w:t xml:space="preserve">Virksomheden tilbyder følgende personalegoder: </w:t>
      </w:r>
      <w:r>
        <w:rPr>
          <w:rFonts w:ascii="Calibri" w:cs="Calibri" w:eastAsia="Calibri" w:hAnsi="Calibri"/>
          <w:color w:val="1C1917"/>
          <w:sz w:val="22"/>
          <w:szCs w:val="22"/>
          <w:shd w:fill="E8E6E1" w:color="auto" w:val="clear"/>
        </w:rPr>
        <w:t xml:space="preserve">[Fx frugtordning, sundhedsforsikring, firmafester, motionstilbud, kantineordning]</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Goderne er frivillige ordninger fra virksomhedens side og kan ændres eller ophøre med rimeligt varsel. De er ikke en del af den enkelte medarbejders løn. Skattepligtige goder beskattes efter de gældende regler.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Gaver, interessekonflikter og anden beskæftigelse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Anden beskæftigelse kan kun begrænses af saglige grunde, fx sundhed og sikkerhed, beskyttelse af forretningshemmeligheder eller interessekonflikter (ansættelsesbevisloven § 7). Et generelt forbud er ikke tilladt.</w:t>
      </w:r>
    </w:p>
    <w:p>
      <w:pPr>
        <w:spacing w:after="120" w:line="288" w:lineRule="auto"/>
      </w:pPr>
      <w:r>
        <w:rPr>
          <w:rFonts w:ascii="Calibri" w:cs="Calibri" w:eastAsia="Calibri" w:hAnsi="Calibri"/>
          <w:color w:val="1C1917"/>
          <w:sz w:val="22"/>
          <w:szCs w:val="22"/>
        </w:rPr>
        <w:t xml:space="preserve">Medarbejdere må ikke modtage gaver, rabatter eller andre fordele fra kunder eller leverandører ud over almindelige gaver af beskeden værdi, fx </w:t>
      </w:r>
      <w:r>
        <w:rPr>
          <w:rFonts w:ascii="Calibri" w:cs="Calibri" w:eastAsia="Calibri" w:hAnsi="Calibri"/>
          <w:color w:val="1C1917"/>
          <w:sz w:val="22"/>
          <w:szCs w:val="22"/>
          <w:shd w:fill="E8E6E1" w:color="auto" w:val="clear"/>
        </w:rPr>
        <w:t xml:space="preserve">[Eksempel, eller værdigrænse kr. (Beløb)]</w:t>
      </w:r>
      <w:r>
        <w:rPr>
          <w:rFonts w:ascii="Calibri" w:cs="Calibri" w:eastAsia="Calibri" w:hAnsi="Calibri"/>
          <w:color w:val="1C1917"/>
          <w:sz w:val="22"/>
          <w:szCs w:val="22"/>
        </w:rPr>
        <w:t xml:space="preserve">. Er du i tvivl, så spørg nærmeste leder.</w:t>
      </w:r>
    </w:p>
    <w:p>
      <w:pPr>
        <w:spacing w:after="120" w:line="288" w:lineRule="auto"/>
      </w:pPr>
      <w:r>
        <w:rPr>
          <w:rFonts w:ascii="Calibri" w:cs="Calibri" w:eastAsia="Calibri" w:hAnsi="Calibri"/>
          <w:color w:val="1C1917"/>
          <w:sz w:val="22"/>
          <w:szCs w:val="22"/>
        </w:rPr>
        <w:t xml:space="preserve">Medarbejdere skal oplyse nærmeste leder om forhold, der kan skabe en interessekonflikt, fx økonomiske interesser i kunder, leverandører eller konkurrenter.</w:t>
      </w:r>
    </w:p>
    <w:p>
      <w:pPr>
        <w:spacing w:after="120" w:line="288" w:lineRule="auto"/>
      </w:pPr>
      <w:r>
        <w:rPr>
          <w:rFonts w:ascii="Calibri" w:cs="Calibri" w:eastAsia="Calibri" w:hAnsi="Calibri"/>
          <w:color w:val="1C1917"/>
          <w:sz w:val="22"/>
          <w:szCs w:val="22"/>
        </w:rPr>
        <w:t xml:space="preserve">Anden beskæftigelse ved siden af ansættelsen er tilladt, når den kan forenes med arbejdstiden, og når den ikke skaber en interessekonflikt eller risiko for virksomhedens forretningshemmeligheder. Medarbejderen oplyser nærmeste leder om anden beskæftigelse.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Tavshedspligt og fortrolighed</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Tavshedspligten følger også af loyalitetspligten og lov om forretningshemmeligheder. Konkurrence- og kundeklausuler kan ikke indføres via håndbogen - de kræver en skriftlig aftale med den enkelte medarbejder.</w:t>
      </w:r>
    </w:p>
    <w:p>
      <w:pPr>
        <w:spacing w:after="120" w:line="288" w:lineRule="auto"/>
      </w:pPr>
      <w:r>
        <w:rPr>
          <w:rFonts w:ascii="Calibri" w:cs="Calibri" w:eastAsia="Calibri" w:hAnsi="Calibri"/>
          <w:color w:val="1C1917"/>
          <w:sz w:val="22"/>
          <w:szCs w:val="22"/>
        </w:rPr>
        <w:t xml:space="preserve">Medarbejdere har tavshedspligt om fortrolige oplysninger om virksomheden, kunder, samarbejdspartnere og kolleger, som de får kendskab til gennem arbejdet. Tavshedspligten gælder også efter fratrædelsen.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Overtrædelse af reglerne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Lov ikke en fast rækkefølge, fx "altid to advarsler før opsigelse". Det binder virksomheden i sager, der kræver en hurtigere reaktion.</w:t>
      </w:r>
    </w:p>
    <w:p>
      <w:pPr>
        <w:spacing w:after="120" w:line="288" w:lineRule="auto"/>
      </w:pPr>
      <w:r>
        <w:rPr>
          <w:rFonts w:ascii="Calibri" w:cs="Calibri" w:eastAsia="Calibri" w:hAnsi="Calibri"/>
          <w:color w:val="1C1917"/>
          <w:sz w:val="22"/>
          <w:szCs w:val="22"/>
        </w:rPr>
        <w:t xml:space="preserve">Overtrædelse af reglerne i håndbogen kan efter en konkret vurdering føre til: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Påtale.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Skriftlig advarsel, der beskriver forholdet, hvad virksomheden forventer fremover, og konsekvensen af en gentagelse.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Opsigelse.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Bortvisning ved grov eller væsentlig misligholdelse.</w:t>
      </w:r>
    </w:p>
    <w:p>
      <w:pPr>
        <w:spacing w:after="120" w:line="288" w:lineRule="auto"/>
      </w:pPr>
      <w:r>
        <w:rPr>
          <w:rFonts w:ascii="Calibri" w:cs="Calibri" w:eastAsia="Calibri" w:hAnsi="Calibri"/>
          <w:color w:val="1C1917"/>
          <w:sz w:val="22"/>
          <w:szCs w:val="22"/>
        </w:rPr>
        <w:t xml:space="preserve">Reaktionen afhænger af overtrædelsens karakter og grovhed. Virksomheden kan springe trin over.</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Fratræden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w:t>
      </w:r>
      <w:r>
        <w:rPr>
          <w:rFonts w:ascii="Calibri" w:cs="Calibri" w:eastAsia="Calibri" w:hAnsi="Calibri"/>
          <w:color w:val="3F3A33"/>
          <w:sz w:val="19"/>
          <w:szCs w:val="19"/>
        </w:rPr>
        <w:t xml:space="preserve"> Beskriv den praktiske afvikling. Varsler og økonomi står i kontrakten.</w:t>
      </w:r>
    </w:p>
    <w:p>
      <w:pPr>
        <w:spacing w:after="120" w:line="288" w:lineRule="auto"/>
      </w:pPr>
      <w:r>
        <w:rPr>
          <w:rFonts w:ascii="Calibri" w:cs="Calibri" w:eastAsia="Calibri" w:hAnsi="Calibri"/>
          <w:color w:val="1C1917"/>
          <w:sz w:val="22"/>
          <w:szCs w:val="22"/>
        </w:rPr>
        <w:t xml:space="preserve">Opsigelse fra medarbejderens side sker skriftligt til </w:t>
      </w:r>
      <w:r>
        <w:rPr>
          <w:rFonts w:ascii="Calibri" w:cs="Calibri" w:eastAsia="Calibri" w:hAnsi="Calibri"/>
          <w:color w:val="1C1917"/>
          <w:sz w:val="22"/>
          <w:szCs w:val="22"/>
          <w:shd w:fill="E8E6E1" w:color="auto" w:val="clear"/>
        </w:rPr>
        <w:t xml:space="preserve">[nærmeste leder]</w:t>
      </w:r>
      <w:r>
        <w:rPr>
          <w:rFonts w:ascii="Calibri" w:cs="Calibri" w:eastAsia="Calibri" w:hAnsi="Calibri"/>
          <w:color w:val="1C1917"/>
          <w:sz w:val="22"/>
          <w:szCs w:val="22"/>
        </w:rPr>
        <w:t xml:space="preserve">. Ved fratræden afleverer medarbejderen alt udstyr, nøgler, adgangskort og materiale, der tilhører virksomheden. Sidste løn udbetales på den sædvanlige lønningsdag. Medarbejderen kan få en skriftlig udtalelse efter anmodning.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Kvittering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b/>
          <w:bCs/>
          <w:color w:val="3F3A33"/>
          <w:sz w:val="19"/>
          <w:szCs w:val="19"/>
        </w:rPr>
        <w:t xml:space="preserve">Anbefalet - i praksis nødvendigt.</w:t>
      </w:r>
      <w:r>
        <w:rPr>
          <w:rFonts w:ascii="Calibri" w:cs="Calibri" w:eastAsia="Calibri" w:hAnsi="Calibri"/>
          <w:color w:val="3F3A33"/>
          <w:sz w:val="19"/>
          <w:szCs w:val="19"/>
        </w:rPr>
        <w:t xml:space="preserve"> Kvitteringen dokumenterer, at medarbejderen kender reglerne. Det er en forudsætning for at kunne give en advarsel for at overtræde dem. Elektronisk kvittering, fx via HR-system, er også fint.</w:t>
      </w:r>
    </w:p>
    <w:p>
      <w:pPr>
        <w:spacing w:after="120" w:line="288" w:lineRule="auto"/>
      </w:pPr>
      <w:r>
        <w:rPr>
          <w:rFonts w:ascii="Calibri" w:cs="Calibri" w:eastAsia="Calibri" w:hAnsi="Calibri"/>
          <w:color w:val="1C1917"/>
          <w:sz w:val="22"/>
          <w:szCs w:val="22"/>
        </w:rPr>
        <w:t xml:space="preserve">Jeg bekræfter at have modtaget og læst </w:t>
      </w:r>
      <w:r>
        <w:rPr>
          <w:rFonts w:ascii="Calibri" w:cs="Calibri" w:eastAsia="Calibri" w:hAnsi="Calibri"/>
          <w:color w:val="1C1917"/>
          <w:sz w:val="22"/>
          <w:szCs w:val="22"/>
          <w:shd w:fill="E8E6E1" w:color="auto" w:val="clear"/>
        </w:rPr>
        <w:t xml:space="preserve">[Virksomhedens navn]</w:t>
      </w:r>
      <w:r>
        <w:rPr>
          <w:rFonts w:ascii="Calibri" w:cs="Calibri" w:eastAsia="Calibri" w:hAnsi="Calibri"/>
          <w:color w:val="1C1917"/>
          <w:sz w:val="22"/>
          <w:szCs w:val="22"/>
        </w:rPr>
        <w:t xml:space="preserve">s personalehåndbog, version </w:t>
      </w:r>
      <w:r>
        <w:rPr>
          <w:rFonts w:ascii="Calibri" w:cs="Calibri" w:eastAsia="Calibri" w:hAnsi="Calibri"/>
          <w:color w:val="1C1917"/>
          <w:sz w:val="22"/>
          <w:szCs w:val="22"/>
          <w:shd w:fill="E8E6E1" w:color="auto" w:val="clear"/>
        </w:rPr>
        <w:t xml:space="preserve">[Nr.]</w:t>
      </w:r>
      <w:r>
        <w:rPr>
          <w:rFonts w:ascii="Calibri" w:cs="Calibri" w:eastAsia="Calibri" w:hAnsi="Calibri"/>
          <w:color w:val="1C1917"/>
          <w:sz w:val="22"/>
          <w:szCs w:val="22"/>
        </w:rPr>
        <w:t xml:space="preserve">, gældende fra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Medarbejder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kifn20lb2h-xdmdlb38pv">
      <w:r>
        <w:rPr>
          <w:rFonts w:ascii="Calibri" w:cs="Calibri" w:eastAsia="Calibri" w:hAnsi="Calibri"/>
          <w:color w:val="1E4FA3"/>
          <w:sz w:val="15"/>
          <w:szCs w:val="15"/>
          <w:u w:val="single"/>
        </w:rPr>
        <w:t xml:space="preserve">lovguiden.dk/praksisoversigt/ansaettelse/personalehaandbog</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rqqsmgemfbhqetwzqvmfz">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z7luazrcrwy87xxkmdnpr">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idd7wgjhaok7oilabny9m" Type="http://schemas.openxmlformats.org/officeDocument/2006/relationships/hyperlink" Target="https://www.lovguiden.dk" TargetMode="External"/><Relationship Id="rIdakgvkr8tatx3igb4bdpwe" Type="http://schemas.openxmlformats.org/officeDocument/2006/relationships/hyperlink" Target="https://www.lovguiden.dk/praksisoversigt/ansaettelse/personalehaandbog" TargetMode="External"/><Relationship Id="rIdvdiqeal5hil-1e4h1buzm" Type="http://schemas.openxmlformats.org/officeDocument/2006/relationships/hyperlink" Target="https://www.lovguiden.dk/praksisoversigt/ansaettelse/personalehaandbog"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kifn20lb2h-xdmdlb38pv" Type="http://schemas.openxmlformats.org/officeDocument/2006/relationships/hyperlink" Target="https://www.lovguiden.dk/praksisoversigt/ansaettelse/personalehaandbog"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rqqsmgemfbhqetwzqvmfz"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z7luazrcrwy87xxkmdnpr"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Personalehåndbog</dc:title>
  <dc:creator>Lovguiden</dc:creator>
  <cp:lastModifiedBy>Un-named</cp:lastModifiedBy>
  <cp:revision>1</cp:revision>
  <dcterms:created xsi:type="dcterms:W3CDTF">2026-10-27T14:06:21.583Z</dcterms:created>
  <dcterms:modified xsi:type="dcterms:W3CDTF">2026-10-27T14:06:21.583Z</dcterms:modified>
</cp:coreProperties>
</file>

<file path=docProps/custom.xml><?xml version="1.0" encoding="utf-8"?>
<Properties xmlns="http://schemas.openxmlformats.org/officeDocument/2006/custom-properties" xmlns:vt="http://schemas.openxmlformats.org/officeDocument/2006/docPropsVTypes"/>
</file>