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BOLIG- &amp; EJENDOMSDOKUMENTER</w:t>
      </w:r>
    </w:p>
    <w:p>
      <w:pPr>
        <w:spacing w:after="120" w:before="60" w:line="300" w:lineRule="auto"/>
      </w:pPr>
      <w:r>
        <w:rPr>
          <w:rFonts w:ascii="Calibri" w:cs="Calibri" w:eastAsia="Calibri" w:hAnsi="Calibri"/>
          <w:b/>
          <w:bCs/>
          <w:color w:val="28394A"/>
          <w:sz w:val="64"/>
          <w:szCs w:val="64"/>
        </w:rPr>
        <w:t xml:space="preserve">Samejeoverenskomst</w:t>
      </w:r>
    </w:p>
    <w:p>
      <w:pPr>
        <w:spacing w:after="200" w:line="288" w:lineRule="auto"/>
      </w:pPr>
      <w:r>
        <w:rPr>
          <w:rFonts w:ascii="Calibri" w:cs="Calibri" w:eastAsia="Calibri" w:hAnsi="Calibri"/>
          <w:color w:val="5F6B76"/>
          <w:sz w:val="26"/>
          <w:szCs w:val="26"/>
        </w:rPr>
        <w:t xml:space="preserve">om ejendommen </w:t>
      </w:r>
      <w:r>
        <w:rPr>
          <w:rFonts w:ascii="Calibri" w:cs="Calibri" w:eastAsia="Calibri" w:hAnsi="Calibri"/>
          <w:color w:val="1C1917"/>
          <w:sz w:val="26"/>
          <w:szCs w:val="26"/>
          <w:shd w:fill="E8E6E1" w:color="auto" w:val="clear"/>
        </w:rPr>
        <w:t xml:space="preserve">[Adresse]</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En samejeoverenskomst regulerer forholdet mellem flere, der ejer en fast ejendom sammen - fx ugifte samlevende, søskende eller venner. Der findes ingen lov om sameje i fast ejendom. Uden en aftale kan hver ejer som udgangspunkt kræve samejet opløst og - hvis parterne ikke kan blive enige om et frivilligt salg - ejendommen solgt på auktion gennem fogedretten (retsplejeloven § 538).</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wzgiyayay4ftluv8yfaxr">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lkvn2tufgjjl4sbr6d1id">
              <w:r>
                <w:rPr>
                  <w:rFonts w:ascii="Calibri" w:cs="Calibri" w:eastAsia="Calibri" w:hAnsi="Calibri"/>
                  <w:color w:val="1E4FA3"/>
                  <w:sz w:val="20"/>
                  <w:szCs w:val="20"/>
                  <w:u w:val="single"/>
                </w:rPr>
                <w:t xml:space="preserve">lovguiden.dk/praksisoversigt/fast-ejendom-og-bolig/samejeoverenskomst</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Aftalen gælder mellem parterne uden formkrav. </w:t>
      </w:r>
      <w:r>
        <w:rPr>
          <w:rFonts w:ascii="Calibri" w:cs="Calibri" w:eastAsia="Calibri" w:hAnsi="Calibri"/>
          <w:b/>
          <w:bCs/>
          <w:color w:val="3F3A33"/>
          <w:sz w:val="19"/>
          <w:szCs w:val="19"/>
        </w:rPr>
        <w:t xml:space="preserve">Over for købere og kreditorer</w:t>
      </w:r>
      <w:r>
        <w:rPr>
          <w:rFonts w:ascii="Calibri" w:cs="Calibri" w:eastAsia="Calibri" w:hAnsi="Calibri"/>
          <w:color w:val="3F3A33"/>
          <w:sz w:val="19"/>
          <w:szCs w:val="19"/>
        </w:rPr>
        <w:t xml:space="preserve"> gælder rettigheder som forkøbsret, brugsret og overtagelsesret kun, hvis de er tinglyst på ejendommen (tinglysningsloven § 1). Se afsnittet om tinglysning.</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Ingen fast pris.</w:t>
      </w:r>
      <w:r>
        <w:rPr>
          <w:rFonts w:ascii="Calibri" w:cs="Calibri" w:eastAsia="Calibri" w:hAnsi="Calibri"/>
          <w:color w:val="3F3A33"/>
          <w:sz w:val="19"/>
          <w:szCs w:val="19"/>
        </w:rPr>
        <w:t xml:space="preserve"> Skabelonen fastsætter en metode til at værdiansætte ejendommen, når en part skal købes ud. En fast pris bliver hurtigt forældet og kan blive tilsidesat som urimelig (aftaleloven § 36) eller anses som en gave.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Over for banken hæfter alle låntagere fuldt for hele lånet, uanset hvad parterne aftaler indbyrdes. Den interne fordeling giver kun et krav mod den anden part.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Ugifte samlevende arver ikke hinanden uden testamente. Overvej testamente og begunstigelse på livsforsikring og pension samtidig med samejeoverenskomsten.</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forskellige indskud dokumenteres ikke; den årlige opgørelse bliver aldrig lavet, og kravene forældes; forkøbsret og brugsret tinglyses ikke; parterne tror, at den interne fordeling begrænser hæftelsen over for banken.</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Retsplejeloven § 538 (opløsning af sameje ved auktion uden forudgående udlæg).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Tinglysningsloven §§ 1 og 10 og tinglysningsafgiftsloven § 7 (tinglysning af rettigheder og afgift).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Forældelsesloven § 3 (3-årig forældelsesfrist).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Gældsbrevsloven § 2 (solidarisk hæftelse).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Aftaleloven § 36, boafgiftsloven § 22 og statsskatteloven § 4 (urimelige vilkår, gaver og skat af brugsret).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Arveloven §§ 63 og 87-89 (udvidet samlevertestamente) og forsikringsaftaleloven §§ 102 og 105 a (begunstigelse og nærmeste pårørende).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Tinglysningsretten, vejledning "Tinglysning af samejeoverenskomst" (domstol.dk).</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c0k5uiscyp3gnsalixdhc">
        <w:r>
          <w:rPr>
            <w:rFonts w:ascii="Calibri" w:cs="Calibri" w:eastAsia="Calibri" w:hAnsi="Calibri"/>
            <w:color w:val="1E4FA3"/>
            <w:sz w:val="20"/>
            <w:szCs w:val="20"/>
            <w:u w:val="single"/>
          </w:rPr>
          <w:t xml:space="preserve">lovguiden.dk/praksisoversigt/fast-ejendom-og-bolig/samejeoverenskomst</w:t>
        </w:r>
      </w:hyperlink>
    </w:p>
    <w:p>
      <w:pPr>
        <w:spacing w:after="80"/>
      </w:pPr>
      <w:r>
        <w:rPr>
          <w:rFonts w:ascii="Calibri" w:cs="Calibri" w:eastAsia="Calibri" w:hAnsi="Calibri"/>
          <w:b/>
          <w:bCs/>
          <w:color w:val="28394A"/>
          <w:sz w:val="44"/>
          <w:szCs w:val="44"/>
        </w:rPr>
        <w:t xml:space="preserve">Samejeoverenskomst</w:t>
      </w:r>
    </w:p>
    <w:p>
      <w:pPr>
        <w:spacing w:after="120" w:line="288" w:lineRule="auto"/>
      </w:pPr>
      <w:r>
        <w:rPr>
          <w:rFonts w:ascii="Calibri" w:cs="Calibri" w:eastAsia="Calibri" w:hAnsi="Calibri"/>
          <w:color w:val="5F6B76"/>
          <w:sz w:val="22"/>
          <w:szCs w:val="22"/>
        </w:rPr>
        <w:t xml:space="preserve">om ejendommen </w:t>
      </w:r>
      <w:r>
        <w:rPr>
          <w:rFonts w:ascii="Calibri" w:cs="Calibri" w:eastAsia="Calibri" w:hAnsi="Calibri"/>
          <w:color w:val="1C1917"/>
          <w:sz w:val="22"/>
          <w:szCs w:val="22"/>
          <w:shd w:fill="E8E6E1" w:color="auto" w:val="clear"/>
        </w:rPr>
        <w:t xml:space="preserve">[Adresse]</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Parter</w:t>
      </w:r>
    </w:p>
    <w:p>
      <w:pPr>
        <w:keepNext/>
        <w:spacing w:after="80" w:before="220"/>
      </w:pPr>
      <w:r>
        <w:rPr>
          <w:rFonts w:ascii="Calibri" w:cs="Calibri" w:eastAsia="Calibri" w:hAnsi="Calibri"/>
          <w:b/>
          <w:bCs/>
          <w:color w:val="28394A"/>
          <w:sz w:val="22"/>
          <w:szCs w:val="22"/>
        </w:rPr>
        <w:t xml:space="preserve">Ejer 1</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CPR-nr.</w:t>
      </w:r>
      <w:r>
        <w:t xml:space="preserve">	</w:t>
      </w:r>
      <w:r>
        <w:rPr>
          <w:rFonts w:ascii="Calibri" w:cs="Calibri" w:eastAsia="Calibri" w:hAnsi="Calibri"/>
          <w:color w:val="1C1917"/>
          <w:sz w:val="22"/>
          <w:szCs w:val="22"/>
          <w:shd w:fill="E8E6E1" w:color="auto" w:val="clear"/>
        </w:rPr>
        <w:t xml:space="preserve">[CPR-nr.]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spacing w:after="80" w:before="220"/>
      </w:pPr>
      <w:r>
        <w:rPr>
          <w:rFonts w:ascii="Calibri" w:cs="Calibri" w:eastAsia="Calibri" w:hAnsi="Calibri"/>
          <w:b/>
          <w:bCs/>
          <w:color w:val="28394A"/>
          <w:sz w:val="22"/>
          <w:szCs w:val="22"/>
        </w:rPr>
        <w:t xml:space="preserve">Ejer 2</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CPR-nr.</w:t>
      </w:r>
      <w:r>
        <w:t xml:space="preserve">	</w:t>
      </w:r>
      <w:r>
        <w:rPr>
          <w:rFonts w:ascii="Calibri" w:cs="Calibri" w:eastAsia="Calibri" w:hAnsi="Calibri"/>
          <w:color w:val="1C1917"/>
          <w:sz w:val="22"/>
          <w:szCs w:val="22"/>
          <w:shd w:fill="E8E6E1" w:color="auto" w:val="clear"/>
        </w:rPr>
        <w:t xml:space="preserve">[CPR-nr.]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spacing w:after="120" w:line="288" w:lineRule="auto"/>
      </w:pPr>
      <w:r>
        <w:rPr>
          <w:rFonts w:ascii="Calibri" w:cs="Calibri" w:eastAsia="Calibri" w:hAnsi="Calibri"/>
          <w:color w:val="1C1917"/>
          <w:sz w:val="22"/>
          <w:szCs w:val="22"/>
        </w:rPr>
        <w:t xml:space="preserve">Parternes forhold: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Ugifte samlevende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Familie: </w:t>
      </w:r>
      <w:r>
        <w:rPr>
          <w:rFonts w:ascii="Calibri" w:cs="Calibri" w:eastAsia="Calibri" w:hAnsi="Calibri"/>
          <w:color w:val="1C1917"/>
          <w:sz w:val="22"/>
          <w:szCs w:val="22"/>
          <w:shd w:fill="E8E6E1" w:color="auto" w:val="clear"/>
        </w:rPr>
        <w:t xml:space="preserve">[Fx søskende, forælder og barn]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Andet: </w:t>
      </w:r>
      <w:r>
        <w:rPr>
          <w:rFonts w:ascii="Calibri" w:cs="Calibri" w:eastAsia="Calibri" w:hAnsi="Calibri"/>
          <w:color w:val="1C1917"/>
          <w:sz w:val="22"/>
          <w:szCs w:val="22"/>
          <w:shd w:fill="E8E6E1" w:color="auto" w:val="clear"/>
        </w:rPr>
        <w:t xml:space="preserve">[Beskrivelse]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Er der flere end to ejere, tilføjes de på samme måde. Bliver parterne gift, gælder ægtefællelovens regler ved separation og skilsmisse, og aftalen bør gennemgås igen.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Ejendommen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Matr.nr. og ejerlav</w:t>
      </w:r>
      <w:r>
        <w:t xml:space="preserve">	</w:t>
      </w:r>
      <w:r>
        <w:rPr>
          <w:rFonts w:ascii="Calibri" w:cs="Calibri" w:eastAsia="Calibri" w:hAnsi="Calibri"/>
          <w:color w:val="1C1917"/>
          <w:sz w:val="22"/>
          <w:szCs w:val="22"/>
          <w:shd w:fill="E8E6E1" w:color="auto" w:val="clear"/>
        </w:rPr>
        <w:t xml:space="preserve">[Matr.nr.]</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[Ejerlav]</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BFE-nr.</w:t>
      </w:r>
      <w:r>
        <w:t xml:space="preserve">	</w:t>
      </w:r>
      <w:r>
        <w:rPr>
          <w:rFonts w:ascii="Calibri" w:cs="Calibri" w:eastAsia="Calibri" w:hAnsi="Calibri"/>
          <w:color w:val="1C1917"/>
          <w:sz w:val="22"/>
          <w:szCs w:val="22"/>
          <w:shd w:fill="E8E6E1" w:color="auto" w:val="clear"/>
        </w:rPr>
        <w:t xml:space="preserve">[BFE-nr.]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Købsaftale</w:t>
      </w:r>
      <w:r>
        <w:t xml:space="preserve">	</w:t>
      </w:r>
      <w:r>
        <w:rPr>
          <w:rFonts w:ascii="Calibri" w:cs="Calibri" w:eastAsia="Calibri" w:hAnsi="Calibri"/>
          <w:color w:val="1C1917"/>
          <w:sz w:val="22"/>
          <w:szCs w:val="22"/>
        </w:rPr>
        <w:t xml:space="preserve">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købesum kr. </w:t>
      </w:r>
      <w:r>
        <w:rPr>
          <w:rFonts w:ascii="Calibri" w:cs="Calibri" w:eastAsia="Calibri" w:hAnsi="Calibri"/>
          <w:color w:val="1C1917"/>
          <w:sz w:val="22"/>
          <w:szCs w:val="22"/>
          <w:shd w:fill="E8E6E1" w:color="auto" w:val="clear"/>
        </w:rPr>
        <w:t xml:space="preserve">[Beløb]</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Overtagelsesdag</w:t>
      </w:r>
      <w:r>
        <w:t xml:space="preserve">	</w:t>
      </w:r>
      <w:r>
        <w:rPr>
          <w:rFonts w:ascii="Calibri" w:cs="Calibri" w:eastAsia="Calibri" w:hAnsi="Calibri"/>
          <w:color w:val="1C1917"/>
          <w:sz w:val="22"/>
          <w:szCs w:val="22"/>
          <w:shd w:fill="E8E6E1" w:color="auto" w:val="clear"/>
        </w:rPr>
        <w:t xml:space="preserve">[Dato]</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Ejerandele</w:t>
      </w:r>
    </w:p>
    <w:p>
      <w:pPr>
        <w:spacing w:after="120" w:line="288" w:lineRule="auto"/>
      </w:pPr>
      <w:r>
        <w:rPr>
          <w:rFonts w:ascii="Calibri" w:cs="Calibri" w:eastAsia="Calibri" w:hAnsi="Calibri"/>
          <w:color w:val="1C1917"/>
          <w:sz w:val="22"/>
          <w:szCs w:val="22"/>
        </w:rPr>
        <w:t xml:space="preserve">Parterne ejer ejendommen med følgende andele, der svarer til det tinglyste skøde: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5442"/>
        <w:gridCol w:w="3628"/>
      </w:tblGrid>
      <w:tr>
        <w:trPr>
          <w:tblHeader/>
        </w:trPr>
        <w:tc>
          <w:tcPr>
            <w:tcW w:type="dxa" w:w="544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Ejer</w:t>
            </w:r>
          </w:p>
        </w:tc>
        <w:tc>
          <w:tcPr>
            <w:tcW w:type="dxa" w:w="362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Ejerandel</w:t>
            </w:r>
          </w:p>
        </w:tc>
      </w:tr>
      <w:tr>
        <w:trPr>
          <w:cantSplit/>
        </w:trPr>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[Ejer 1]</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1/2]</w:t>
            </w:r>
          </w:p>
        </w:tc>
      </w:tr>
      <w:tr>
        <w:trPr>
          <w:cantSplit/>
        </w:trPr>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[Ejer 2]</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1/2]</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Ejerandelene skal stemme med skødet. Ændres andelene senere, kræver det et nyt skøde - ikke blot en ændring af denne aftale.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Indskud og mellemregning</w:t>
      </w:r>
    </w:p>
    <w:p>
      <w:pPr>
        <w:spacing w:after="120" w:line="288" w:lineRule="auto"/>
      </w:pPr>
      <w:r>
        <w:rPr>
          <w:rFonts w:ascii="Calibri" w:cs="Calibri" w:eastAsia="Calibri" w:hAnsi="Calibri"/>
          <w:color w:val="1C1917"/>
          <w:sz w:val="22"/>
          <w:szCs w:val="22"/>
        </w:rPr>
        <w:t xml:space="preserve">Parterne har ved købet indskudt:</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814"/>
        <w:gridCol w:w="1814"/>
        <w:gridCol w:w="1814"/>
        <w:gridCol w:w="3628"/>
      </w:tblGrid>
      <w:tr>
        <w:trPr>
          <w:tblHeader/>
        </w:trPr>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Ejer</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Kontant indskud (kr.)</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Dato</w:t>
            </w:r>
          </w:p>
        </w:tc>
        <w:tc>
          <w:tcPr>
            <w:tcW w:type="dxa" w:w="362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Kilde (fx opsparing, salg af bolig, gave)</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spacing w:after="120" w:line="288" w:lineRule="auto"/>
      </w:pPr>
      <w:r>
        <w:rPr>
          <w:rFonts w:ascii="Calibri" w:cs="Calibri" w:eastAsia="Calibri" w:hAnsi="Calibri"/>
          <w:color w:val="1C1917"/>
          <w:sz w:val="22"/>
          <w:szCs w:val="22"/>
        </w:rPr>
        <w:t xml:space="preserve">Forskellen i indskud udlignes således: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Forskellen er udlignet ved, at ejerandelene er fastsat som anført ovenfor.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Ejerandelene er lige. </w:t>
      </w:r>
      <w:r>
        <w:rPr>
          <w:rFonts w:ascii="Calibri" w:cs="Calibri" w:eastAsia="Calibri" w:hAnsi="Calibri"/>
          <w:color w:val="1C1917"/>
          <w:sz w:val="22"/>
          <w:szCs w:val="22"/>
          <w:shd w:fill="E8E6E1" w:color="auto" w:val="clear"/>
        </w:rPr>
        <w:t xml:space="preserve">[Ejer]</w:t>
      </w:r>
      <w:r>
        <w:rPr>
          <w:rFonts w:ascii="Calibri" w:cs="Calibri" w:eastAsia="Calibri" w:hAnsi="Calibri"/>
          <w:color w:val="1C1917"/>
          <w:sz w:val="22"/>
          <w:szCs w:val="22"/>
        </w:rPr>
        <w:t xml:space="preserve"> har ved ophør af samejet ret til at få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udbetalt forlods af nettoprovenuet </w:t>
      </w:r>
      <w:r>
        <w:rPr>
          <w:rFonts w:ascii="Calibri" w:cs="Calibri" w:eastAsia="Calibri" w:hAnsi="Calibri"/>
          <w:color w:val="1C1917"/>
          <w:sz w:val="22"/>
          <w:szCs w:val="22"/>
          <w:shd w:fill="E8E6E1" w:color="auto" w:val="clear"/>
        </w:rPr>
        <w:t xml:space="preserve">[nominelt / reguleret efter nettoprisindekset fra (Dato)]</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Parterne opgør hvert år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en skriftlig mellemregning over indskud, ekstraordinære afdrag og forbedringer, som en part har betalt mere end sin andel af. Opgørelsen underskrives af begge parter.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Krav mellem parterne forældes som udgangspunkt efter 3 år (forældelsesloven § 3). En årlig, underskrevet opgørelse er en skriftlig anerkendelse, der afbryder forældelsen. Gem opgørelserne sammen med aftalen.</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 ulige fordeling uden modydelse kan være en gave, der skal anmeldes og evt. betales afgift af (boafgiftsloven § 22).</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Løbende udgifter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4031"/>
        <w:gridCol w:w="2016"/>
        <w:gridCol w:w="3023"/>
      </w:tblGrid>
      <w:tr>
        <w:trPr>
          <w:tblHeader/>
        </w:trPr>
        <w:tc>
          <w:tcPr>
            <w:tcW w:type="dxa" w:w="403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Udgift</w:t>
            </w:r>
          </w:p>
        </w:tc>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Fordeles efter ejerandel</w:t>
            </w:r>
          </w:p>
        </w:tc>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Anden fordeling</w:t>
            </w:r>
          </w:p>
        </w:tc>
      </w:tr>
      <w:tr>
        <w:trPr>
          <w:cantSplit/>
        </w:trPr>
        <w:tc>
          <w:tcPr>
            <w:tcW w:type="dxa" w:w="403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Renter og afdrag på lån</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[Fordeling]</w:t>
            </w:r>
          </w:p>
        </w:tc>
      </w:tr>
      <w:tr>
        <w:trPr>
          <w:cantSplit/>
        </w:trPr>
        <w:tc>
          <w:tcPr>
            <w:tcW w:type="dxa" w:w="403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Ejendomsskatter</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[Fordeling]</w:t>
            </w:r>
          </w:p>
        </w:tc>
      </w:tr>
      <w:tr>
        <w:trPr>
          <w:cantSplit/>
        </w:trPr>
        <w:tc>
          <w:tcPr>
            <w:tcW w:type="dxa" w:w="403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Forsikringer</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[Fordeling]</w:t>
            </w:r>
          </w:p>
        </w:tc>
      </w:tr>
      <w:tr>
        <w:trPr>
          <w:cantSplit/>
        </w:trPr>
        <w:tc>
          <w:tcPr>
            <w:tcW w:type="dxa" w:w="403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Forbrug (varme, vand, el)</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[Fordeling]</w:t>
            </w:r>
          </w:p>
        </w:tc>
      </w:tr>
      <w:tr>
        <w:trPr>
          <w:cantSplit/>
        </w:trPr>
        <w:tc>
          <w:tcPr>
            <w:tcW w:type="dxa" w:w="403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Almindelig vedligeholdelse</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[Fordeling]</w:t>
            </w:r>
          </w:p>
        </w:tc>
      </w:tr>
      <w:tr>
        <w:trPr>
          <w:cantSplit/>
        </w:trPr>
        <w:tc>
          <w:tcPr>
            <w:tcW w:type="dxa" w:w="403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Bidrag til ejer- eller grundejerforening</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[Fordeling]</w:t>
            </w:r>
          </w:p>
        </w:tc>
      </w:tr>
    </w:tbl>
    <w:p>
      <w:pPr>
        <w:spacing w:after="160"/>
      </w:pPr>
    </w:p>
    <w:p>
      <w:pPr>
        <w:spacing w:after="120" w:line="288" w:lineRule="auto"/>
      </w:pPr>
      <w:r>
        <w:rPr>
          <w:rFonts w:ascii="Calibri" w:cs="Calibri" w:eastAsia="Calibri" w:hAnsi="Calibri"/>
          <w:color w:val="1C1917"/>
          <w:sz w:val="22"/>
          <w:szCs w:val="22"/>
        </w:rPr>
        <w:t xml:space="preserve">Betaler en part mere end sin andel, har parten et krav mod den anden part, der optages i den årlige mellemregning.</w:t>
      </w:r>
    </w:p>
    <w:p>
      <w:pPr>
        <w:spacing w:after="120" w:line="288" w:lineRule="auto"/>
      </w:pPr>
      <w:r>
        <w:rPr>
          <w:rFonts w:ascii="Calibri" w:cs="Calibri" w:eastAsia="Calibri" w:hAnsi="Calibri"/>
          <w:color w:val="1C1917"/>
          <w:sz w:val="22"/>
          <w:szCs w:val="22"/>
        </w:rPr>
        <w:t xml:space="preserve">Forbedringer og større anskaffelser over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kræver skriftlig aftale mellem parterne, herunder om hvordan udgiften fordeles og indgår i mellemregningen.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Lån og hæftelse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721"/>
        <w:gridCol w:w="1814"/>
        <w:gridCol w:w="1814"/>
        <w:gridCol w:w="2721"/>
      </w:tblGrid>
      <w:tr>
        <w:trPr>
          <w:tblHeader/>
        </w:trPr>
        <w:tc>
          <w:tcPr>
            <w:tcW w:type="dxa" w:w="272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Långiver</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Lånenr.</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Hovedstol (kr.)</w:t>
            </w:r>
          </w:p>
        </w:tc>
        <w:tc>
          <w:tcPr>
            <w:tcW w:type="dxa" w:w="272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Låntagere</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spacing w:after="120" w:line="288" w:lineRule="auto"/>
      </w:pPr>
      <w:r>
        <w:rPr>
          <w:rFonts w:ascii="Calibri" w:cs="Calibri" w:eastAsia="Calibri" w:hAnsi="Calibri"/>
          <w:color w:val="1C1917"/>
          <w:sz w:val="22"/>
          <w:szCs w:val="22"/>
        </w:rPr>
        <w:t xml:space="preserve">Parterne hæfter over for långiverne efter lånedokumenterne. Indbyrdes fordeles lånene efter </w:t>
      </w:r>
      <w:r>
        <w:rPr>
          <w:rFonts w:ascii="Calibri" w:cs="Calibri" w:eastAsia="Calibri" w:hAnsi="Calibri"/>
          <w:color w:val="1C1917"/>
          <w:sz w:val="22"/>
          <w:szCs w:val="22"/>
          <w:shd w:fill="E8E6E1" w:color="auto" w:val="clear"/>
        </w:rPr>
        <w:t xml:space="preserve">[ejerandelene / følgende fordeling: (Fordeling)]</w:t>
      </w:r>
      <w:r>
        <w:rPr>
          <w:rFonts w:ascii="Calibri" w:cs="Calibri" w:eastAsia="Calibri" w:hAnsi="Calibri"/>
          <w:color w:val="1C1917"/>
          <w:sz w:val="22"/>
          <w:szCs w:val="22"/>
        </w:rPr>
        <w:t xml:space="preserve">. Betaler en part mere end sin andel, kan parten kræve forskellen betalt af den anden part.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Står begge på lånet, hæfter de solidarisk - banken kan kræve hele beløbet af hver af dem (gældsbrevsloven § 2). Den interne fordeling binder ikke banken.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Brugsret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Parterne har lige ret til at bruge hele ejendommen.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[Ejer]</w:t>
      </w:r>
      <w:r>
        <w:rPr>
          <w:rFonts w:ascii="Calibri" w:cs="Calibri" w:eastAsia="Calibri" w:hAnsi="Calibri"/>
          <w:color w:val="1C1917"/>
          <w:sz w:val="22"/>
          <w:szCs w:val="22"/>
        </w:rPr>
        <w:t xml:space="preserve"> har eksklusiv brugsret til </w:t>
      </w:r>
      <w:r>
        <w:rPr>
          <w:rFonts w:ascii="Calibri" w:cs="Calibri" w:eastAsia="Calibri" w:hAnsi="Calibri"/>
          <w:color w:val="1C1917"/>
          <w:sz w:val="22"/>
          <w:szCs w:val="22"/>
          <w:shd w:fill="E8E6E1" w:color="auto" w:val="clear"/>
        </w:rPr>
        <w:t xml:space="preserve">[Hele ejendommen / del af ejendommen]</w:t>
      </w:r>
      <w:r>
        <w:rPr>
          <w:rFonts w:ascii="Calibri" w:cs="Calibri" w:eastAsia="Calibri" w:hAnsi="Calibri"/>
          <w:color w:val="1C1917"/>
          <w:sz w:val="22"/>
          <w:szCs w:val="22"/>
        </w:rPr>
        <w:t xml:space="preserve"> mod et vederlag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pr. måned til </w:t>
      </w:r>
      <w:r>
        <w:rPr>
          <w:rFonts w:ascii="Calibri" w:cs="Calibri" w:eastAsia="Calibri" w:hAnsi="Calibri"/>
          <w:color w:val="1C1917"/>
          <w:sz w:val="22"/>
          <w:szCs w:val="22"/>
          <w:shd w:fill="E8E6E1" w:color="auto" w:val="clear"/>
        </w:rPr>
        <w:t xml:space="preserve">[Ejer]</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Bruger kun én ejer ejendommen uden at betale markedsleje, kan det have skattemæssige følger (statsskatteloven § 4). Tal med en rådgiver, hvis brugen er ulige.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Salg af ejerandel og forkøbsret</w:t>
      </w:r>
    </w:p>
    <w:p>
      <w:pPr>
        <w:spacing w:after="120" w:line="288" w:lineRule="auto"/>
      </w:pPr>
      <w:r>
        <w:rPr>
          <w:rFonts w:ascii="Calibri" w:cs="Calibri" w:eastAsia="Calibri" w:hAnsi="Calibri"/>
          <w:color w:val="1C1917"/>
          <w:sz w:val="22"/>
          <w:szCs w:val="22"/>
        </w:rPr>
        <w:t xml:space="preserve">Ønsker en part at sælge sin ejerandel, skal andelen først tilbydes skriftligt til den anden part. Den anden part har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uger fra modtagelsen af tilbuddet til skriftligt at acceptere at købe andelen.</w:t>
      </w:r>
    </w:p>
    <w:p>
      <w:pPr>
        <w:spacing w:after="120" w:line="288" w:lineRule="auto"/>
      </w:pPr>
      <w:r>
        <w:rPr>
          <w:rFonts w:ascii="Calibri" w:cs="Calibri" w:eastAsia="Calibri" w:hAnsi="Calibri"/>
          <w:color w:val="1C1917"/>
          <w:sz w:val="22"/>
          <w:szCs w:val="22"/>
        </w:rPr>
        <w:t xml:space="preserve">Prisen for andelen fastsættes som andelen af ejendommens markedsværdi, opgjort således: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Gennemsnittet af to vurderinger fra uafhængige ejendomsmæglere. Hver part vælger én mægler og betaler selv for vurderingen.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En vurdering fra en uafhængig ejendomsmægler, som parterne vælger i fællesskab. Kan parterne ikke blive enige om valget, udpeges mægleren af </w:t>
      </w:r>
      <w:r>
        <w:rPr>
          <w:rFonts w:ascii="Calibri" w:cs="Calibri" w:eastAsia="Calibri" w:hAnsi="Calibri"/>
          <w:color w:val="1C1917"/>
          <w:sz w:val="22"/>
          <w:szCs w:val="22"/>
          <w:shd w:fill="E8E6E1" w:color="auto" w:val="clear"/>
        </w:rPr>
        <w:t xml:space="preserve">[Fx den lokale ejendomsmæglerforening]</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En skønsmand udpeget af </w:t>
      </w:r>
      <w:r>
        <w:rPr>
          <w:rFonts w:ascii="Calibri" w:cs="Calibri" w:eastAsia="Calibri" w:hAnsi="Calibri"/>
          <w:color w:val="1C1917"/>
          <w:sz w:val="22"/>
          <w:szCs w:val="22"/>
          <w:shd w:fill="E8E6E1" w:color="auto" w:val="clear"/>
        </w:rPr>
        <w:t xml:space="preserve">[Instans]</w:t>
      </w:r>
      <w:r>
        <w:rPr>
          <w:rFonts w:ascii="Calibri" w:cs="Calibri" w:eastAsia="Calibri" w:hAnsi="Calibri"/>
          <w:color w:val="1C1917"/>
          <w:sz w:val="22"/>
          <w:szCs w:val="22"/>
        </w:rPr>
        <w:t xml:space="preserve">. Udgiften deles efter ejerandelene.</w:t>
      </w:r>
    </w:p>
    <w:p>
      <w:pPr>
        <w:spacing w:after="120" w:line="288" w:lineRule="auto"/>
      </w:pPr>
      <w:r>
        <w:rPr>
          <w:rFonts w:ascii="Calibri" w:cs="Calibri" w:eastAsia="Calibri" w:hAnsi="Calibri"/>
          <w:color w:val="1C1917"/>
          <w:sz w:val="22"/>
          <w:szCs w:val="22"/>
        </w:rPr>
        <w:t xml:space="preserve">Fra andelen af markedsværdien fradrages andelen af den gæld, køberen overtager, og den årlige mellemregning og eventuelle forlods udbetalinger efter afsnittet om indskud gøres op.</w:t>
      </w:r>
    </w:p>
    <w:p>
      <w:pPr>
        <w:spacing w:after="120" w:line="288" w:lineRule="auto"/>
      </w:pPr>
      <w:r>
        <w:rPr>
          <w:rFonts w:ascii="Calibri" w:cs="Calibri" w:eastAsia="Calibri" w:hAnsi="Calibri"/>
          <w:color w:val="1C1917"/>
          <w:sz w:val="22"/>
          <w:szCs w:val="22"/>
        </w:rPr>
        <w:t xml:space="preserve">Accepterer den anden part ikke tilbuddet rettidigt, kan andelen sælges til tredjemand, dog ikke til en lavere pris eller på bedre vilkår end tilbudt, uden at andelen først tilbydes den anden part igen.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Skriv ikke en fast pris eller "restgælden" som pris. Den bliver hurtigt urimelig og kan tilsidesættes eller anses som en gave.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Forkøbsretten binder kun en køber eller kreditor, hvis den er tinglyst.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Ophør af samejet</w:t>
      </w:r>
    </w:p>
    <w:p>
      <w:pPr>
        <w:spacing w:after="120" w:line="288" w:lineRule="auto"/>
      </w:pPr>
      <w:r>
        <w:rPr>
          <w:rFonts w:ascii="Calibri" w:cs="Calibri" w:eastAsia="Calibri" w:hAnsi="Calibri"/>
          <w:color w:val="1C1917"/>
          <w:sz w:val="22"/>
          <w:szCs w:val="22"/>
        </w:rPr>
        <w:t xml:space="preserve">Hver part kan skriftligt kræve samejet ophævet med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måneders varsel, dog tidligst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Ved ophør har følgende part ret til at overtage den anden parts andel:</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[Ejer]</w:t>
      </w:r>
      <w:r>
        <w:rPr>
          <w:rFonts w:ascii="Calibri" w:cs="Calibri" w:eastAsia="Calibri" w:hAnsi="Calibri"/>
          <w:color w:val="1C1917"/>
          <w:sz w:val="22"/>
          <w:szCs w:val="22"/>
        </w:rPr>
        <w:t xml:space="preserve"> har førsteret til at overtage.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Begge parter har ret til at overtage. Ønsker begge det, afgøres det ved </w:t>
      </w:r>
      <w:r>
        <w:rPr>
          <w:rFonts w:ascii="Calibri" w:cs="Calibri" w:eastAsia="Calibri" w:hAnsi="Calibri"/>
          <w:color w:val="1C1917"/>
          <w:sz w:val="22"/>
          <w:szCs w:val="22"/>
          <w:shd w:fill="E8E6E1" w:color="auto" w:val="clear"/>
        </w:rPr>
        <w:t xml:space="preserve">[Fx lodtrækning eller højeste bud]</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Overtagelsesretten skal udnyttes skriftligt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uger efter kravet om ophævelse. Prisen fastsættes efter metoden i afsnittet om salg af ejerandel. Det er en betingelse for overtagelsen, at den fraflyttende part frigøres for hæftelsen for lånene i ejendommen.</w:t>
      </w:r>
    </w:p>
    <w:p>
      <w:pPr>
        <w:spacing w:after="120" w:line="288" w:lineRule="auto"/>
      </w:pPr>
      <w:r>
        <w:rPr>
          <w:rFonts w:ascii="Calibri" w:cs="Calibri" w:eastAsia="Calibri" w:hAnsi="Calibri"/>
          <w:color w:val="1C1917"/>
          <w:sz w:val="22"/>
          <w:szCs w:val="22"/>
        </w:rPr>
        <w:t xml:space="preserve">Udnyttes overtagelsesretten ikke, eller kan den overtagende part ikke opnå frigørelse af den anden part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sælges ejendommen i fri handel gennem en ejendomsmægler, som parterne vælger i fællesskab. Nettoprovenuet fordeles efter ejerandelene, når mellemregningen og eventuelle forlods udbetalinger er gjort op.</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Misligholdelse</w:t>
      </w:r>
    </w:p>
    <w:p>
      <w:pPr>
        <w:spacing w:after="120" w:line="288" w:lineRule="auto"/>
      </w:pPr>
      <w:r>
        <w:rPr>
          <w:rFonts w:ascii="Calibri" w:cs="Calibri" w:eastAsia="Calibri" w:hAnsi="Calibri"/>
          <w:color w:val="1C1917"/>
          <w:sz w:val="22"/>
          <w:szCs w:val="22"/>
        </w:rPr>
        <w:t xml:space="preserve">Betaler en part ikke sin andel af udgifterne, kan den anden part skriftligt kræve betaling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Det skyldige beløb forrentes med </w:t>
      </w:r>
      <w:r>
        <w:rPr>
          <w:rFonts w:ascii="Calibri" w:cs="Calibri" w:eastAsia="Calibri" w:hAnsi="Calibri"/>
          <w:color w:val="1C1917"/>
          <w:sz w:val="22"/>
          <w:szCs w:val="22"/>
          <w:shd w:fill="E8E6E1" w:color="auto" w:val="clear"/>
        </w:rPr>
        <w:t xml:space="preserve">[Rente]</w:t>
      </w:r>
      <w:r>
        <w:rPr>
          <w:rFonts w:ascii="Calibri" w:cs="Calibri" w:eastAsia="Calibri" w:hAnsi="Calibri"/>
          <w:color w:val="1C1917"/>
          <w:sz w:val="22"/>
          <w:szCs w:val="22"/>
        </w:rPr>
        <w:t xml:space="preserve">. Er beløbet ikke betalt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efter påkravet, kan den anden part kræve at overtage den misligholdende parts andel efter reglerne i afsnittet om ophør.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Dødsfald</w:t>
      </w:r>
    </w:p>
    <w:p>
      <w:pPr>
        <w:spacing w:after="120" w:line="288" w:lineRule="auto"/>
      </w:pPr>
      <w:r>
        <w:rPr>
          <w:rFonts w:ascii="Calibri" w:cs="Calibri" w:eastAsia="Calibri" w:hAnsi="Calibri"/>
          <w:color w:val="1C1917"/>
          <w:sz w:val="22"/>
          <w:szCs w:val="22"/>
        </w:rPr>
        <w:t xml:space="preserve">Dør en part, har den længstlevende ret til at overtage den afdødes andel efter metoden i afsnittet om salg af ejerandel. Retten skal udnyttes skriftligt over for boet senest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efter dødsfaldet.</w:t>
      </w:r>
    </w:p>
    <w:p>
      <w:pPr>
        <w:spacing w:after="120" w:line="288" w:lineRule="auto"/>
      </w:pPr>
      <w:r>
        <w:rPr>
          <w:rFonts w:ascii="Calibri" w:cs="Calibri" w:eastAsia="Calibri" w:hAnsi="Calibri"/>
          <w:color w:val="1C1917"/>
          <w:sz w:val="22"/>
          <w:szCs w:val="22"/>
        </w:rPr>
        <w:t xml:space="preserve">Parterne har: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Oprettet testamente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Indsat hinanden som begunstiget på livsforsikring og pension.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Ingen af delene - parterne er gjort opmærksom på, at de ikke arver hinanden.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Samlevende kan oprette udvidet samlevertestamente og arve hinanden som ægtefæller (arveloven § 87). Det kræver bl.a., at parterne bor sammen og enten venter eller har et fælles barn eller har levet sammen i et ægteskabslignende forhold de sidste 2 år (§ 88). Testamentet bortfalder ved ægteskab (§ 89).</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 samlever er kun "nærmeste pårørende" på en livsforsikring eller pension, hvis tilsvarende betingelser er opfyldt (forsikringsaftaleloven § 105 a). Indsæt derfor samleveren ved navn som begunstiget hos selskabet, og ret begunstigelsen, hvis samlivet ophører.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Ændringer og tvister</w:t>
      </w:r>
    </w:p>
    <w:p>
      <w:pPr>
        <w:spacing w:after="120" w:line="288" w:lineRule="auto"/>
      </w:pPr>
      <w:r>
        <w:rPr>
          <w:rFonts w:ascii="Calibri" w:cs="Calibri" w:eastAsia="Calibri" w:hAnsi="Calibri"/>
          <w:color w:val="1C1917"/>
          <w:sz w:val="22"/>
          <w:szCs w:val="22"/>
        </w:rPr>
        <w:t xml:space="preserve">Ændringer af aftalen skal være skriftlige og underskrevet af alle parter.</w:t>
      </w:r>
    </w:p>
    <w:p>
      <w:pPr>
        <w:spacing w:after="120" w:line="288" w:lineRule="auto"/>
      </w:pPr>
      <w:r>
        <w:rPr>
          <w:rFonts w:ascii="Calibri" w:cs="Calibri" w:eastAsia="Calibri" w:hAnsi="Calibri"/>
          <w:color w:val="1C1917"/>
          <w:sz w:val="22"/>
          <w:szCs w:val="22"/>
        </w:rPr>
        <w:t xml:space="preserve">Uenighed søges løst ved forhandling. Kan parterne ikke blive enige, afgøres tvisten af </w:t>
      </w:r>
      <w:r>
        <w:rPr>
          <w:rFonts w:ascii="Calibri" w:cs="Calibri" w:eastAsia="Calibri" w:hAnsi="Calibri"/>
          <w:color w:val="1C1917"/>
          <w:sz w:val="22"/>
          <w:szCs w:val="22"/>
          <w:shd w:fill="E8E6E1" w:color="auto" w:val="clear"/>
        </w:rPr>
        <w:t xml:space="preserve">[de almindelige domstole / voldgift efter (Regler)]</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Tinglysning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Afsnittene om </w:t>
      </w:r>
      <w:r>
        <w:rPr>
          <w:rFonts w:ascii="Calibri" w:cs="Calibri" w:eastAsia="Calibri" w:hAnsi="Calibri"/>
          <w:color w:val="1C1917"/>
          <w:sz w:val="22"/>
          <w:szCs w:val="22"/>
          <w:shd w:fill="E8E6E1" w:color="auto" w:val="clear"/>
        </w:rPr>
        <w:t xml:space="preserve">[Fx forkøbsret, overtagelsesret og brugsret]</w:t>
      </w:r>
      <w:r>
        <w:rPr>
          <w:rFonts w:ascii="Calibri" w:cs="Calibri" w:eastAsia="Calibri" w:hAnsi="Calibri"/>
          <w:color w:val="1C1917"/>
          <w:sz w:val="22"/>
          <w:szCs w:val="22"/>
        </w:rPr>
        <w:t xml:space="preserve"> tinglyses som byrde på ejendommen med prioritet efter </w:t>
      </w:r>
      <w:r>
        <w:rPr>
          <w:rFonts w:ascii="Calibri" w:cs="Calibri" w:eastAsia="Calibri" w:hAnsi="Calibri"/>
          <w:color w:val="1C1917"/>
          <w:sz w:val="22"/>
          <w:szCs w:val="22"/>
          <w:shd w:fill="E8E6E1" w:color="auto" w:val="clear"/>
        </w:rPr>
        <w:t xml:space="preserve">[Fx de til enhver tid tinglyste pantebreve]</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Aftalen tinglyses ikke.</w:t>
      </w:r>
    </w:p>
    <w:p>
      <w:pPr>
        <w:spacing w:after="120" w:line="288" w:lineRule="auto"/>
      </w:pPr>
      <w:r>
        <w:rPr>
          <w:rFonts w:ascii="Calibri" w:cs="Calibri" w:eastAsia="Calibri" w:hAnsi="Calibri"/>
          <w:color w:val="1C1917"/>
          <w:sz w:val="22"/>
          <w:szCs w:val="22"/>
        </w:rPr>
        <w:t xml:space="preserve">Tinglysningsafgiften betales af </w:t>
      </w:r>
      <w:r>
        <w:rPr>
          <w:rFonts w:ascii="Calibri" w:cs="Calibri" w:eastAsia="Calibri" w:hAnsi="Calibri"/>
          <w:color w:val="1C1917"/>
          <w:sz w:val="22"/>
          <w:szCs w:val="22"/>
          <w:shd w:fill="E8E6E1" w:color="auto" w:val="clear"/>
        </w:rPr>
        <w:t xml:space="preserve">[Parterne efter ejerandelene]</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Aftalen tinglyses som et digitalt dokument på tinglysning.dk. Den tinglyste tekst skal mindst være et uddrag af de bestemmelser, der skal tinglyses. Omfatter en rettighed kun en del af ejendommen, skal der vedlægges et rids.</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Der betales gældende fast tinglysningsafgift pr. rettighedstype - kontrollér den aktuelle sats på tinglysning.dk.</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Prioriteten er vigtig: En rettighed med prioritet efter et pantebrev kan bortfalde, hvis pantekreditoren lader ejendommen sælge på tvangsauktion.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Underskrifter</w:t>
      </w:r>
    </w:p>
    <w:p>
      <w:pPr>
        <w:spacing w:after="120" w:line="288" w:lineRule="auto"/>
      </w:pPr>
      <w:r>
        <w:rPr>
          <w:rFonts w:ascii="Calibri" w:cs="Calibri" w:eastAsia="Calibri" w:hAnsi="Calibri"/>
          <w:color w:val="1C1917"/>
          <w:sz w:val="22"/>
          <w:szCs w:val="22"/>
        </w:rPr>
        <w:t xml:space="preserve">Aftalen er underskrevet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eksemplarer, ét til hver part.</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Ejer 1</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Ejer 2</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p>
      <w:pPr>
        <w:spacing w:after="100" w:before="360"/>
      </w:pPr>
      <w:r>
        <w:rPr>
          <w:rFonts w:ascii="Calibri" w:cs="Calibri" w:eastAsia="Calibri" w:hAnsi="Calibri"/>
          <w:b/>
          <w:bCs/>
          <w:color w:val="28394A"/>
          <w:spacing w:val="40"/>
          <w:sz w:val="17"/>
          <w:szCs w:val="17"/>
        </w:rPr>
        <w:t xml:space="preserve">VITTERLIGHEDSVIDNER</w:t>
      </w:r>
    </w:p>
    <w:p>
      <w:pPr>
        <w:spacing w:after="120" w:line="288" w:lineRule="auto"/>
      </w:pPr>
      <w:r>
        <w:rPr>
          <w:rFonts w:ascii="Calibri" w:cs="Calibri" w:eastAsia="Calibri" w:hAnsi="Calibri"/>
          <w:color w:val="1C1917"/>
          <w:sz w:val="20"/>
          <w:szCs w:val="20"/>
        </w:rPr>
        <w:t xml:space="preserve">Undertegnede vitterlighedsvidner bekræfter, at ovennævnte har underskrevet dokumentet i vores samtidige nærværelse.</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Vidne 1</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p>
            <w:pPr>
              <w:spacing w:after="40" w:line="288" w:lineRule="auto"/>
            </w:pPr>
            <w:r>
              <w:rPr>
                <w:rFonts w:ascii="Calibri" w:cs="Calibri" w:eastAsia="Calibri" w:hAnsi="Calibri"/>
                <w:color w:val="1C1917"/>
                <w:sz w:val="20"/>
                <w:szCs w:val="20"/>
              </w:rPr>
              <w:t xml:space="preserve">Adresse: </w:t>
            </w:r>
            <w:r>
              <w:rPr>
                <w:rFonts w:ascii="Calibri" w:cs="Calibri" w:eastAsia="Calibri" w:hAnsi="Calibri"/>
                <w:color w:val="1C1917"/>
                <w:sz w:val="20"/>
                <w:szCs w:val="20"/>
                <w:shd w:fill="E8E6E1" w:color="auto" w:val="clear"/>
              </w:rPr>
              <w:t xml:space="preserve">[Adresse]</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Vidne 2</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p>
            <w:pPr>
              <w:spacing w:after="40" w:line="288" w:lineRule="auto"/>
            </w:pPr>
            <w:r>
              <w:rPr>
                <w:rFonts w:ascii="Calibri" w:cs="Calibri" w:eastAsia="Calibri" w:hAnsi="Calibri"/>
                <w:color w:val="1C1917"/>
                <w:sz w:val="20"/>
                <w:szCs w:val="20"/>
              </w:rPr>
              <w:t xml:space="preserve">Adresse: </w:t>
            </w:r>
            <w:r>
              <w:rPr>
                <w:rFonts w:ascii="Calibri" w:cs="Calibri" w:eastAsia="Calibri" w:hAnsi="Calibri"/>
                <w:color w:val="1C1917"/>
                <w:sz w:val="20"/>
                <w:szCs w:val="20"/>
                <w:shd w:fill="E8E6E1" w:color="auto" w:val="clear"/>
              </w:rPr>
              <w:t xml:space="preserve">[Adresse]</w:t>
            </w:r>
          </w:p>
        </w:tc>
      </w:tr>
    </w:tbl>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Vitterlighedsvidner er ikke et krav, men gør det lettere at bevise underskrifterne. Ved tinglysning underskrives det digitale dokument med MitID.</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ze7yasbqhg9mjjgqwuqz6">
      <w:r>
        <w:rPr>
          <w:rFonts w:ascii="Calibri" w:cs="Calibri" w:eastAsia="Calibri" w:hAnsi="Calibri"/>
          <w:color w:val="1E4FA3"/>
          <w:sz w:val="15"/>
          <w:szCs w:val="15"/>
          <w:u w:val="single"/>
        </w:rPr>
        <w:t xml:space="preserve">lovguiden.dk/praksisoversigt/fast-ejendom-og-bolig/samejeoverenskomst</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ha6_t1v_e0lpqd251ir4d">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4yrkmmsrdkwnadocle9az">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wzgiyayay4ftluv8yfaxr" Type="http://schemas.openxmlformats.org/officeDocument/2006/relationships/hyperlink" Target="https://www.lovguiden.dk" TargetMode="External"/><Relationship Id="rIdlkvn2tufgjjl4sbr6d1id" Type="http://schemas.openxmlformats.org/officeDocument/2006/relationships/hyperlink" Target="https://www.lovguiden.dk/praksisoversigt/fast-ejendom-og-bolig/samejeoverenskomst" TargetMode="External"/><Relationship Id="rIdc0k5uiscyp3gnsalixdhc" Type="http://schemas.openxmlformats.org/officeDocument/2006/relationships/hyperlink" Target="https://www.lovguiden.dk/praksisoversigt/fast-ejendom-og-bolig/samejeoverenskomst"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ze7yasbqhg9mjjgqwuqz6" Type="http://schemas.openxmlformats.org/officeDocument/2006/relationships/hyperlink" Target="https://www.lovguiden.dk/praksisoversigt/fast-ejendom-og-bolig/samejeoverenskomst"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ha6_t1v_e0lpqd251ir4d"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4yrkmmsrdkwnadocle9az"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Samejeoverenskomst</dc:title>
  <dc:creator>Lovguiden</dc:creator>
  <cp:lastModifiedBy>Un-named</cp:lastModifiedBy>
  <cp:revision>1</cp:revision>
  <dcterms:created xsi:type="dcterms:W3CDTF">2026-10-27T14:06:22.247Z</dcterms:created>
  <dcterms:modified xsi:type="dcterms:W3CDTF">2026-10-27T14:06:22.247Z</dcterms:modified>
</cp:coreProperties>
</file>

<file path=docProps/custom.xml><?xml version="1.0" encoding="utf-8"?>
<Properties xmlns="http://schemas.openxmlformats.org/officeDocument/2006/custom-properties" xmlns:vt="http://schemas.openxmlformats.org/officeDocument/2006/docPropsVTypes"/>
</file>