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2190750" cy="600075"/>
            <wp:effectExtent t="0" r="0" b="0" l="0"/>
            <wp:docPr id="7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190750" cy="600075"/>
                    </a:xfrm>
                    <a:prstGeom prst="rect">
                      <a:avLst/>
                    </a:prstGeom>
                  </pic:spPr>
                </pic:pic>
              </a:graphicData>
            </a:graphic>
          </wp:inline>
        </w:drawing>
      </w:r>
    </w:p>
    <w:p>
      <w:pPr>
        <w:spacing w:after="160" w:before="2200"/>
      </w:pPr>
      <w:r>
        <w:rPr>
          <w:rFonts w:ascii="Calibri" w:cs="Calibri" w:eastAsia="Calibri" w:hAnsi="Calibri"/>
          <w:b/>
          <w:bCs/>
          <w:color w:val="9A7032"/>
          <w:spacing w:val="40"/>
          <w:sz w:val="17"/>
          <w:szCs w:val="17"/>
        </w:rPr>
        <w:t xml:space="preserve">SKABELON  ·  FAMILIE- &amp; PRIVATDOKUMENTER</w:t>
      </w:r>
    </w:p>
    <w:p>
      <w:pPr>
        <w:spacing w:after="220" w:before="60" w:line="300" w:lineRule="auto"/>
      </w:pPr>
      <w:r>
        <w:rPr>
          <w:rFonts w:ascii="Calibri" w:cs="Calibri" w:eastAsia="Calibri" w:hAnsi="Calibri"/>
          <w:b/>
          <w:bCs/>
          <w:color w:val="28394A"/>
          <w:sz w:val="64"/>
          <w:szCs w:val="64"/>
        </w:rPr>
        <w:t xml:space="preserve">Testamente</w:t>
      </w:r>
    </w:p>
    <w:p>
      <w:pPr>
        <w:pBdr>
          <w:bottom w:val="single" w:color="9A7032" w:sz="16"/>
        </w:pBdr>
        <w:spacing w:after="280"/>
        <w:ind w:right="7600"/>
      </w:pPr>
    </w:p>
    <w:p>
      <w:pPr>
        <w:spacing w:after="480" w:line="288" w:lineRule="auto"/>
      </w:pPr>
      <w:r>
        <w:rPr>
          <w:rFonts w:ascii="Calibri" w:cs="Calibri" w:eastAsia="Calibri" w:hAnsi="Calibri"/>
          <w:color w:val="3F3A33"/>
          <w:sz w:val="23"/>
          <w:szCs w:val="23"/>
        </w:rPr>
        <w:t xml:space="preserve">Skabelonen er til ét testamente for én person. Den har alternative bestemmelser (☐) - behold dem, der passer, og slet resten, så det færdige testamente ikke indeholder afkrydsningsfelter, tomme felter eller vejledning.</w:t>
      </w:r>
    </w:p>
    <w:tbl>
      <w:tblPr>
        <w:tblW w:type="dxa" w:w="9070"/>
        <w:tblBorders>
          <w:top w:val="single" w:color="28394A" w:sz="8"/>
          <w:left w:val="none" w:color="FFFFFF" w:sz="0"/>
          <w:bottom w:val="single" w:color="D9DDE1" w:sz="4"/>
          <w:right w:val="none" w:color="FFFFFF" w:sz="0"/>
          <w:insideH w:val="single" w:color="D9DDE1" w:sz="4"/>
          <w:insideV w:val="none" w:color="FFFFFF" w:sz="0"/>
        </w:tblBorders>
      </w:tblPr>
      <w:tblGrid>
        <w:gridCol w:w="2400"/>
        <w:gridCol w:w="6670"/>
      </w:tblGrid>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Udgivet af</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Lovguiden  ·  </w:t>
            </w:r>
            <w:hyperlink w:history="1" r:id="rIdkoo9zfwf_rbmbdx3fp-pz">
              <w:r>
                <w:rPr>
                  <w:rFonts w:ascii="Calibri" w:cs="Calibri" w:eastAsia="Calibri" w:hAnsi="Calibri"/>
                  <w:color w:val="1E4FA3"/>
                  <w:sz w:val="20"/>
                  <w:szCs w:val="20"/>
                  <w:u w:val="single"/>
                </w:rPr>
                <w:t xml:space="preserve">www.lovguiden.dk</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Tilhørende guide</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hyperlink w:history="1" r:id="rId6mypmruf_yriht14dqjjs">
              <w:r>
                <w:rPr>
                  <w:rFonts w:ascii="Calibri" w:cs="Calibri" w:eastAsia="Calibri" w:hAnsi="Calibri"/>
                  <w:color w:val="1E4FA3"/>
                  <w:sz w:val="20"/>
                  <w:szCs w:val="20"/>
                  <w:u w:val="single"/>
                </w:rPr>
                <w:t xml:space="preserve">lovguiden.dk/praksisoversigt/privat-og-familie/testamente</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Version</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Oktober 2026</w:t>
            </w:r>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Format</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Redigerbar skabelon - udfyld felterne, og slet vejledningen</w:t>
            </w:r>
          </w:p>
        </w:tc>
      </w:tr>
    </w:tbl>
    <w:p>
      <w:pPr>
        <w:spacing w:after="120" w:before="480"/>
      </w:pPr>
      <w:r>
        <w:rPr>
          <w:rFonts w:ascii="Calibri" w:cs="Calibri" w:eastAsia="Calibri" w:hAnsi="Calibri"/>
          <w:b/>
          <w:bCs/>
          <w:color w:val="28394A"/>
          <w:spacing w:val="40"/>
          <w:sz w:val="17"/>
          <w:szCs w:val="17"/>
        </w:rPr>
        <w:t xml:space="preserve">SÅDAN BRUGES SKABELONEN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400"/>
        <w:gridCol w:w="6670"/>
      </w:tblGrid>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1C1917"/>
                <w:sz w:val="20"/>
                <w:szCs w:val="20"/>
                <w:shd w:fill="E8E6E1" w:color="auto" w:val="clear"/>
              </w:rPr>
              <w:t xml:space="preserve">[Navn]</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Grå felter i klammer udfyldes - fx navne, datoer og beløb.</w:t>
            </w:r>
          </w:p>
        </w:tc>
      </w:tr>
      <w:tr>
        <w:tc>
          <w:tcPr>
            <w:tcW w:type="dxa" w:w="2400"/>
            <w:tcBorders>
              <w:top w:val="none" w:color="FFFFFF" w:sz="0"/>
              <w:left w:val="single" w:color="C9A66B" w:sz="18"/>
              <w:bottom w:val="none" w:color="FFFFFF" w:sz="0"/>
              <w:right w:val="none" w:color="FFFFFF" w:sz="0"/>
            </w:tcBorders>
            <w:shd w:fill="F7F3EC" w:color="auto" w:val="clear"/>
            <w:tcMar>
              <w:top w:type="dxa" w:w="80"/>
              <w:left w:type="dxa" w:w="140"/>
              <w:bottom w:type="dxa" w:w="80"/>
              <w:right w:type="dxa" w:w="140"/>
            </w:tcMar>
            <w:vAlign w:val="center"/>
          </w:tcPr>
          <w:p>
            <w:r>
              <w:rPr>
                <w:rFonts w:ascii="Calibri" w:cs="Calibri" w:eastAsia="Calibri" w:hAnsi="Calibri"/>
                <w:b/>
                <w:bCs/>
                <w:color w:val="9A7032"/>
                <w:spacing w:val="30"/>
                <w:sz w:val="15"/>
                <w:szCs w:val="15"/>
              </w:rPr>
              <w:t xml:space="preserve">VEJLEDNING</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Tonede bokse er vejledning til jer og </w:t>
            </w:r>
            <w:r>
              <w:rPr>
                <w:rFonts w:ascii="Calibri" w:cs="Calibri" w:eastAsia="Calibri" w:hAnsi="Calibri"/>
                <w:b/>
                <w:bCs/>
                <w:color w:val="3F3A33"/>
                <w:sz w:val="19"/>
                <w:szCs w:val="19"/>
              </w:rPr>
              <w:t xml:space="preserve">slettes</w:t>
            </w:r>
            <w:r>
              <w:rPr>
                <w:rFonts w:ascii="Calibri" w:cs="Calibri" w:eastAsia="Calibri" w:hAnsi="Calibri"/>
                <w:color w:val="3F3A33"/>
                <w:sz w:val="19"/>
                <w:szCs w:val="19"/>
              </w:rPr>
              <w:t xml:space="preserve">, inden dokumentet bruges.</w:t>
            </w:r>
          </w:p>
        </w:tc>
      </w:tr>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28394A"/>
                <w:sz w:val="20"/>
                <w:szCs w:val="20"/>
              </w:rPr>
              <w:t xml:space="preserve">☐  Valgmulighed</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Vælg det, der passer, og slet resten. Afsnit, der ikke er relevante, kan slettes helt.</w:t>
            </w:r>
          </w:p>
        </w:tc>
      </w:tr>
    </w:tbl>
    <w:p>
      <w:pPr>
        <w:spacing w:after="0" w:before="480" w:line="288" w:lineRule="auto"/>
        <w:sectPr>
          <w:headerReference w:type="default" r:id="rId6"/>
          <w:footerReference w:type="default" r:id="rId7"/>
          <w:pgSz w:w="11906" w:h="16838" w:orient="portrait"/>
          <w:pgMar w:top="1100" w:right="1418" w:bottom="1300" w:left="1418" w:header="560" w:footer="560" w:gutter="0"/>
          <w:pgNumType/>
          <w:docGrid w:linePitch="360"/>
        </w:sectPr>
      </w:pPr>
      <w:r>
        <w:rPr>
          <w:rFonts w:ascii="Calibri" w:cs="Calibri" w:eastAsia="Calibri" w:hAnsi="Calibri"/>
          <w:i/>
          <w:iCs/>
          <w:color w:val="5F6B76"/>
          <w:sz w:val="16"/>
          <w:szCs w:val="16"/>
        </w:rPr>
        <w:t xml:space="preserve">Skabelonen er et udgangspunkt og ikke juridisk rådgivning. Lovgivningen kan være ændret siden udarbejdelsen - kontrollér reglerne, og søg rådgivning ved større eller usædvanlige forhold.</w:t>
      </w:r>
    </w:p>
    <w:p>
      <w:pPr>
        <w:spacing w:after="80" w:before="0"/>
      </w:pPr>
      <w:r>
        <w:rPr>
          <w:rFonts w:ascii="Calibri" w:cs="Calibri" w:eastAsia="Calibri" w:hAnsi="Calibri"/>
          <w:b/>
          <w:bCs/>
          <w:color w:val="9A7032"/>
          <w:spacing w:val="40"/>
          <w:sz w:val="17"/>
          <w:szCs w:val="17"/>
        </w:rPr>
        <w:t xml:space="preserve">SLETTES FØR BRUG</w:t>
      </w:r>
    </w:p>
    <w:p>
      <w:pPr>
        <w:spacing w:after="240"/>
      </w:pPr>
      <w:r>
        <w:rPr>
          <w:rFonts w:ascii="Calibri" w:cs="Calibri" w:eastAsia="Calibri" w:hAnsi="Calibri"/>
          <w:b/>
          <w:bCs/>
          <w:color w:val="28394A"/>
          <w:sz w:val="40"/>
          <w:szCs w:val="40"/>
        </w:rPr>
        <w:t xml:space="preserve">Før du går i gang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VIGTIGT AT VIDE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Et testamente skal oprettes på papir i en af lovens former: </w:t>
      </w:r>
      <w:r>
        <w:rPr>
          <w:rFonts w:ascii="Calibri" w:cs="Calibri" w:eastAsia="Calibri" w:hAnsi="Calibri"/>
          <w:b/>
          <w:bCs/>
          <w:color w:val="3F3A33"/>
          <w:sz w:val="19"/>
          <w:szCs w:val="19"/>
        </w:rPr>
        <w:t xml:space="preserve">notartestamente</w:t>
      </w:r>
      <w:r>
        <w:rPr>
          <w:rFonts w:ascii="Calibri" w:cs="Calibri" w:eastAsia="Calibri" w:hAnsi="Calibri"/>
          <w:color w:val="3F3A33"/>
          <w:sz w:val="19"/>
          <w:szCs w:val="19"/>
        </w:rPr>
        <w:t xml:space="preserve"> (arveloven § 63) eller </w:t>
      </w:r>
      <w:r>
        <w:rPr>
          <w:rFonts w:ascii="Calibri" w:cs="Calibri" w:eastAsia="Calibri" w:hAnsi="Calibri"/>
          <w:b/>
          <w:bCs/>
          <w:color w:val="3F3A33"/>
          <w:sz w:val="19"/>
          <w:szCs w:val="19"/>
        </w:rPr>
        <w:t xml:space="preserve">vidnetestamente</w:t>
      </w:r>
      <w:r>
        <w:rPr>
          <w:rFonts w:ascii="Calibri" w:cs="Calibri" w:eastAsia="Calibri" w:hAnsi="Calibri"/>
          <w:color w:val="3F3A33"/>
          <w:sz w:val="19"/>
          <w:szCs w:val="19"/>
        </w:rPr>
        <w:t xml:space="preserve"> (arveloven § 64). Der findes ingen digital oprettelse. Notartestamentet anbefales: notaren kontrollerer identitet og testationsevne, opbevarer en kopi og registrerer testamentet i Centralregistret for Testamenter, så det bliver fundet ved dødsfaldet.</w:t>
      </w:r>
    </w:p>
    <w:p>
      <w:pPr>
        <w:keepNext/>
        <w:keepLines/>
        <w:pBdr>
          <w:left w:val="single" w:color="C9A66B" w:sz="18" w:space="10"/>
        </w:pBdr>
        <w:shd w:fill="F7F3EC" w:color="auto" w:val="clear"/>
        <w:spacing w:after="60" w:line="270" w:lineRule="auto"/>
        <w:ind w:left="200" w:right="200"/>
      </w:pPr>
      <w:r>
        <w:rPr>
          <w:rFonts w:ascii="Calibri" w:cs="Calibri" w:eastAsia="Calibri" w:hAnsi="Calibri"/>
          <w:b/>
          <w:bCs/>
          <w:color w:val="3F3A33"/>
          <w:sz w:val="19"/>
          <w:szCs w:val="19"/>
        </w:rPr>
        <w:t xml:space="preserve">Notartestamente:</w:t>
      </w:r>
      <w:r>
        <w:rPr>
          <w:rFonts w:ascii="Calibri" w:cs="Calibri" w:eastAsia="Calibri" w:hAnsi="Calibri"/>
          <w:color w:val="3F3A33"/>
          <w:sz w:val="19"/>
          <w:szCs w:val="19"/>
        </w:rPr>
        <w:t xml:space="preserve"> Print testamentet i to ens eksemplarer, og </w:t>
      </w:r>
      <w:r>
        <w:rPr>
          <w:rFonts w:ascii="Calibri" w:cs="Calibri" w:eastAsia="Calibri" w:hAnsi="Calibri"/>
          <w:b/>
          <w:bCs/>
          <w:color w:val="3F3A33"/>
          <w:sz w:val="19"/>
          <w:szCs w:val="19"/>
        </w:rPr>
        <w:t xml:space="preserve">underskriv ikke på forhånd</w:t>
      </w:r>
      <w:r>
        <w:rPr>
          <w:rFonts w:ascii="Calibri" w:cs="Calibri" w:eastAsia="Calibri" w:hAnsi="Calibri"/>
          <w:color w:val="3F3A33"/>
          <w:sz w:val="19"/>
          <w:szCs w:val="19"/>
        </w:rPr>
        <w:t xml:space="preserve"> - underskriften sker for notaren. Medbring billed-ID og domstolenes forside til testamente (domstol.dk). Book tid ved byretten, og betal den gældende retsafgift (se borger.dk, "Testamente"). Slet vidneerklæringen under "Underskrift".</w:t>
      </w:r>
    </w:p>
    <w:p>
      <w:pPr>
        <w:keepNext/>
        <w:keepLines/>
        <w:pBdr>
          <w:left w:val="single" w:color="C9A66B" w:sz="18" w:space="10"/>
        </w:pBdr>
        <w:shd w:fill="F7F3EC" w:color="auto" w:val="clear"/>
        <w:spacing w:after="60" w:line="270" w:lineRule="auto"/>
        <w:ind w:left="200" w:right="200"/>
      </w:pPr>
      <w:r>
        <w:rPr>
          <w:rFonts w:ascii="Calibri" w:cs="Calibri" w:eastAsia="Calibri" w:hAnsi="Calibri"/>
          <w:b/>
          <w:bCs/>
          <w:color w:val="3F3A33"/>
          <w:sz w:val="19"/>
          <w:szCs w:val="19"/>
        </w:rPr>
        <w:t xml:space="preserve">Vidnetestamente:</w:t>
      </w:r>
      <w:r>
        <w:rPr>
          <w:rFonts w:ascii="Calibri" w:cs="Calibri" w:eastAsia="Calibri" w:hAnsi="Calibri"/>
          <w:color w:val="3F3A33"/>
          <w:sz w:val="19"/>
          <w:szCs w:val="19"/>
        </w:rPr>
        <w:t xml:space="preserve"> Testator underskriver (eller vedkender sig underskriften) med to vidner til stede samtidig. Vidnerne skal være fyldt 18 år, vide at det er et testamente, og må ikke være begunstiget eller nærtstående til en begunstiget. Vidnetestamentet registreres ikke og kan forsvinde - opbevar det sikkert og fortæl, hvor det ligger.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Faldgruber: personer identificeres ikke entydigt ("mine børn"); tvangsarven begrænses med "mindst muligt" i stedet for udtrykkeligt efter arvelovens § 5, stk. 2; særeje og indtrædelse glemmes; vidnerne er inhabile eller ikke til stede samtidig; samlevere tror, de arver hinanden uden testamente; der bruges en gammel skabelon, hvor tvangsarven står som 1/2 (i dag er den 1/4).</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Et testamente til fordel for en ægtefælle anses for tilbagekaldt ved separation eller skilsmisse, og et testamente til en samlever, hvis samlivet ophører på grund af uoverensstemmelser - medmindre særlige omstændigheder taler imod (arveloven § 67, stk. 2-3). Lav et nyt testamente, når familien ændrer sig.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Fælles testamenter (ægtefæller/samlevere), uskiftet bo, virksomhedsejerskab og formue i udlandet bør gennemgås med en advokat.</w:t>
      </w:r>
    </w:p>
    <w:p>
      <w:pPr>
        <w:spacing w:after="12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KILDER OG INSPIRATION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Arveloven (lovbekendtgørelse nr. 1347 af 2021): § 5 og § 10 (tvangsarv), § 50 (overtagelse og kontant udbetaling), §§ 53-61 (båndlæggelse), §§ 62-67 (testationsevne, testamentsformer, indbo, tilbagekaldelse), §§ 87-89 (udvidet samlevertestamente) og § 94 (overlevelseskrav).</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Ægtefælleloven § 23 (særeje bestemt af arvelader) og § 12 (særejeformer).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Forældreansvarsloven § 16 (ønske om forældremyndighed efter død).</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Domstolsstyrelsen, "Information om vidnetestamente" (domstol.dk).</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Domstolene, "Skriftlig vejledning til notar" og borger.dk, "Testamente".</w:t>
      </w:r>
    </w:p>
    <w:p>
      <w:pPr>
        <w:spacing w:before="200"/>
        <w:sectPr>
          <w:headerReference w:type="default" r:id="rId8"/>
          <w:footerReference w:type="default" r:id="rId9"/>
          <w:pgSz w:w="11906" w:h="16838" w:orient="portrait"/>
          <w:pgMar w:top="1418" w:right="1418" w:bottom="1300" w:left="1418" w:header="560" w:footer="560" w:gutter="0"/>
          <w:pgNumType/>
          <w:docGrid w:linePitch="360"/>
        </w:sectPr>
      </w:pPr>
      <w:r>
        <w:rPr>
          <w:rFonts w:ascii="Calibri" w:cs="Calibri" w:eastAsia="Calibri" w:hAnsi="Calibri"/>
          <w:color w:val="1C1917"/>
          <w:sz w:val="20"/>
          <w:szCs w:val="20"/>
        </w:rPr>
        <w:t xml:space="preserve">Læs guiden med lovkrav, faldgruber og praksis: </w:t>
      </w:r>
      <w:hyperlink w:history="1" r:id="rIdc4edrwtdplg8-rlwc18js">
        <w:r>
          <w:rPr>
            <w:rFonts w:ascii="Calibri" w:cs="Calibri" w:eastAsia="Calibri" w:hAnsi="Calibri"/>
            <w:color w:val="1E4FA3"/>
            <w:sz w:val="20"/>
            <w:szCs w:val="20"/>
            <w:u w:val="single"/>
          </w:rPr>
          <w:t xml:space="preserve">lovguiden.dk/praksisoversigt/privat-og-familie/testamente</w:t>
        </w:r>
      </w:hyperlink>
    </w:p>
    <w:p>
      <w:pPr>
        <w:spacing w:after="120"/>
      </w:pPr>
      <w:r>
        <w:rPr>
          <w:rFonts w:ascii="Calibri" w:cs="Calibri" w:eastAsia="Calibri" w:hAnsi="Calibri"/>
          <w:b/>
          <w:bCs/>
          <w:color w:val="28394A"/>
          <w:sz w:val="44"/>
          <w:szCs w:val="44"/>
        </w:rPr>
        <w:t xml:space="preserve">Testamente</w:t>
      </w:r>
    </w:p>
    <w:p>
      <w:pPr>
        <w:pBdr>
          <w:bottom w:val="single" w:color="9A7032" w:sz="12"/>
        </w:pBdr>
        <w:spacing w:after="360"/>
        <w:ind w:right="760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Testator</w:t>
      </w:r>
    </w:p>
    <w:p>
      <w:pPr>
        <w:spacing w:after="120" w:line="288" w:lineRule="auto"/>
      </w:pPr>
      <w:r>
        <w:rPr>
          <w:rFonts w:ascii="Calibri" w:cs="Calibri" w:eastAsia="Calibri" w:hAnsi="Calibri"/>
          <w:color w:val="1C1917"/>
          <w:sz w:val="22"/>
          <w:szCs w:val="22"/>
        </w:rPr>
        <w:t xml:space="preserve">Undertegnede opretter hermed følgende testamente:</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[Fulde 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CPR-nr.</w:t>
      </w:r>
      <w:r>
        <w:t xml:space="preserve">	</w:t>
      </w:r>
      <w:r>
        <w:rPr>
          <w:rFonts w:ascii="Calibri" w:cs="Calibri" w:eastAsia="Calibri" w:hAnsi="Calibri"/>
          <w:color w:val="1C1917"/>
          <w:sz w:val="22"/>
          <w:szCs w:val="22"/>
          <w:shd w:fill="E8E6E1" w:color="auto" w:val="clear"/>
        </w:rPr>
        <w:t xml:space="preserve">[CPR-nr.]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Testator skal være fyldt 18 år eller være gift (arveloven § 62). Testamentet offentliggøres ikke, så CPR-nr. kan stå her - det gør identifikationen sikker.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Tidligere testamenter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Jeg tilbagekalder alle tidligere testamenter og tilføjelser hertil.</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Mit testamente af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opretholdes med de ændringer, der følger af dette testamente. Ved uoverensstemmelse går dette testamente forud.</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Et testamente kan kun tilbagekaldes eller ændres i testamentsform (arveloven § 67). Et notartestamente kan derfor ændres ved et nyt vidnetestamente og omvendt. Den sikreste løsning er et nyt, samlet testamente, der tilbagekalder alle tidligere.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Familieforhold</w:t>
      </w:r>
    </w:p>
    <w:p>
      <w:pPr>
        <w:spacing w:after="120" w:line="288" w:lineRule="auto"/>
      </w:pPr>
      <w:r>
        <w:rPr>
          <w:rFonts w:ascii="Calibri" w:cs="Calibri" w:eastAsia="Calibri" w:hAnsi="Calibri"/>
          <w:color w:val="1C1917"/>
          <w:sz w:val="22"/>
          <w:szCs w:val="22"/>
        </w:rPr>
        <w:t xml:space="preserve">Ved oprettelsen af dette testamente er jeg </w:t>
      </w:r>
      <w:r>
        <w:rPr>
          <w:rFonts w:ascii="Calibri" w:cs="Calibri" w:eastAsia="Calibri" w:hAnsi="Calibri"/>
          <w:color w:val="1C1917"/>
          <w:sz w:val="22"/>
          <w:szCs w:val="22"/>
          <w:shd w:fill="E8E6E1" w:color="auto" w:val="clear"/>
        </w:rPr>
        <w:t xml:space="preserve">[ugift / gift med (Navn) / samlever med (Navn) / fraskilt / enke(mand)]</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Jeg har følgende børn:</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3628"/>
        <w:gridCol w:w="1814"/>
        <w:gridCol w:w="3628"/>
      </w:tblGrid>
      <w:tr>
        <w:trPr>
          <w:tblHeader/>
        </w:trPr>
        <w:tc>
          <w:tcPr>
            <w:tcW w:type="dxa" w:w="3628"/>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Navn</w:t>
            </w:r>
          </w:p>
        </w:tc>
        <w:tc>
          <w:tcPr>
            <w:tcW w:type="dxa" w:w="181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Fødselsdato</w:t>
            </w:r>
          </w:p>
        </w:tc>
        <w:tc>
          <w:tcPr>
            <w:tcW w:type="dxa" w:w="3628"/>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Bemærkning (fx fra tidligere forhold, afdød)</w:t>
            </w:r>
          </w:p>
        </w:tc>
      </w:tr>
      <w:tr>
        <w:trPr>
          <w:cantSplit/>
        </w:trPr>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spacing w:after="120" w:line="288" w:lineRule="auto"/>
      </w:pPr>
      <w:r>
        <w:rPr>
          <w:rFonts w:ascii="Calibri" w:cs="Calibri" w:eastAsia="Calibri" w:hAnsi="Calibri"/>
          <w:color w:val="1C1917"/>
          <w:sz w:val="22"/>
          <w:szCs w:val="22"/>
        </w:rPr>
        <w:t xml:space="preserve">Afdøde børn har efterladt følgende børn: </w:t>
      </w:r>
      <w:r>
        <w:rPr>
          <w:rFonts w:ascii="Calibri" w:cs="Calibri" w:eastAsia="Calibri" w:hAnsi="Calibri"/>
          <w:color w:val="1C1917"/>
          <w:sz w:val="22"/>
          <w:szCs w:val="22"/>
          <w:shd w:fill="E8E6E1" w:color="auto" w:val="clear"/>
        </w:rPr>
        <w:t xml:space="preserve">[Navn, fødselsdato / Ingen]</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Afsnittet ændrer ikke arven, men gør testamentet lettere at fortolke. Nævn alle børn, også voksne børn, adoptivbørn og børn fra tidligere forhold. Har du ingen børn, så skriv "Jeg har ingen børn". Stedbørn arver ikke efter loven - de skal nævnes som arvinger nedenfor, hvis de skal arve.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Tvangsarv</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b/>
          <w:bCs/>
          <w:color w:val="3F3A33"/>
          <w:sz w:val="19"/>
          <w:szCs w:val="19"/>
        </w:rPr>
        <w:t xml:space="preserve">Tvangsarv</w:t>
      </w:r>
      <w:r>
        <w:rPr>
          <w:rFonts w:ascii="Calibri" w:cs="Calibri" w:eastAsia="Calibri" w:hAnsi="Calibri"/>
          <w:color w:val="3F3A33"/>
          <w:sz w:val="19"/>
          <w:szCs w:val="19"/>
        </w:rPr>
        <w:t xml:space="preserve"> er den del af arven, testator ikke kan testamentere væk fra sin ægtefælle og sine livsarvinger (børn, og børnebørn i et afdødt barns sted). Den udgør 1/4 af den arv, de ville have fået efter loven (arveloven § 5, stk. 1, og § 10). Resten - </w:t>
      </w:r>
      <w:r>
        <w:rPr>
          <w:rFonts w:ascii="Calibri" w:cs="Calibri" w:eastAsia="Calibri" w:hAnsi="Calibri"/>
          <w:b/>
          <w:bCs/>
          <w:color w:val="3F3A33"/>
          <w:sz w:val="19"/>
          <w:szCs w:val="19"/>
        </w:rPr>
        <w:t xml:space="preserve">den frie del</w:t>
      </w:r>
      <w:r>
        <w:rPr>
          <w:rFonts w:ascii="Calibri" w:cs="Calibri" w:eastAsia="Calibri" w:hAnsi="Calibri"/>
          <w:color w:val="3F3A33"/>
          <w:sz w:val="19"/>
          <w:szCs w:val="19"/>
        </w:rPr>
        <w:t xml:space="preserve"> - kan testator frit råde over.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Eksempler: Efterlader testator ægtefælle og børn, arver ægtefællen og børnene hver halvdelen efter loven. Tvangsarven er da 1/8 til ægtefællen og 1/8 til børnene tilsammen, og 3/4 er fri. Efterlades kun børn, er 1/4 tvangsarv og 3/4 fri. Efterlades hverken ægtefælle eller livsarvinger, er hele formuen fri.</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Har testator store værdier, kan arven til </w:t>
      </w:r>
      <w:r>
        <w:rPr>
          <w:rFonts w:ascii="Calibri" w:cs="Calibri" w:eastAsia="Calibri" w:hAnsi="Calibri"/>
          <w:b/>
          <w:bCs/>
          <w:color w:val="3F3A33"/>
          <w:sz w:val="19"/>
          <w:szCs w:val="19"/>
        </w:rPr>
        <w:t xml:space="preserve">hvert barn</w:t>
      </w:r>
      <w:r>
        <w:rPr>
          <w:rFonts w:ascii="Calibri" w:cs="Calibri" w:eastAsia="Calibri" w:hAnsi="Calibri"/>
          <w:color w:val="3F3A33"/>
          <w:sz w:val="19"/>
          <w:szCs w:val="19"/>
        </w:rPr>
        <w:t xml:space="preserve"> desuden begrænses til et fast beløb, selv om 1/4 ville være mere (arveloven § 5, stk. 2). Beløbet reguleres hvert år (§ 97) - slå det gældende beløb op på borger.dk. Begrænsningen skal stå udtrykkeligt; "så lidt som muligt" er ikke nok. Ægtefællens tvangsarv kan ikke begrænses til et beløb.</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Samlevere har ingen arveret efter loven og ingen tvangsarv - de arver kun efter testamente.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Jeg efterlader mig ikke ægtefælle eller livsarvinger. Hele min formue fordeles efter dette testamente.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Mine tvangsarvinger arver tvangsarv efter loven. Resten af min formue fordeles som anført nedenfor.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Mine livsarvinger arver kun deres tvangsarv. Arven til hvert af mine børn begrænses desuden til det beløb, der efter arvelovens § 5, stk. 2, gælder på tidspunktet for min død. Resten af min formue fordeles som anført nedenfor.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Fordeling af arven</w:t>
      </w:r>
    </w:p>
    <w:p>
      <w:pPr>
        <w:spacing w:after="120" w:line="288" w:lineRule="auto"/>
      </w:pPr>
      <w:r>
        <w:rPr>
          <w:rFonts w:ascii="Calibri" w:cs="Calibri" w:eastAsia="Calibri" w:hAnsi="Calibri"/>
          <w:color w:val="1C1917"/>
          <w:sz w:val="22"/>
          <w:szCs w:val="22"/>
        </w:rPr>
        <w:t xml:space="preserve">Min formue, bortset fra tvangsarv, skal tilfalde:</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721"/>
        <w:gridCol w:w="1814"/>
        <w:gridCol w:w="1814"/>
        <w:gridCol w:w="2721"/>
      </w:tblGrid>
      <w:tr>
        <w:trPr>
          <w:tblHeader/>
        </w:trPr>
        <w:tc>
          <w:tcPr>
            <w:tcW w:type="dxa" w:w="2721"/>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Arving</w:t>
            </w:r>
          </w:p>
        </w:tc>
        <w:tc>
          <w:tcPr>
            <w:tcW w:type="dxa" w:w="181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Fødselsdato / CVR-nr.</w:t>
            </w:r>
          </w:p>
        </w:tc>
        <w:tc>
          <w:tcPr>
            <w:tcW w:type="dxa" w:w="181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Relation</w:t>
            </w:r>
          </w:p>
        </w:tc>
        <w:tc>
          <w:tcPr>
            <w:tcW w:type="dxa" w:w="2721"/>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Andel eller genstand</w:t>
            </w:r>
          </w:p>
        </w:tc>
      </w:tr>
      <w:tr>
        <w:trPr>
          <w:cantSplit/>
        </w:trPr>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[Navn]</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[Fødselsdato]</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barn, samlever, ven, forening]</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1/2 / 40 % / restformuen]</w:t>
            </w:r>
          </w:p>
        </w:tc>
      </w:tr>
      <w:tr>
        <w:trPr>
          <w:cantSplit/>
        </w:trPr>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keepNext/>
        <w:spacing w:after="80" w:before="220"/>
      </w:pPr>
      <w:r>
        <w:rPr>
          <w:rFonts w:ascii="Calibri" w:cs="Calibri" w:eastAsia="Calibri" w:hAnsi="Calibri"/>
          <w:b/>
          <w:bCs/>
          <w:color w:val="28394A"/>
          <w:sz w:val="22"/>
          <w:szCs w:val="22"/>
        </w:rPr>
        <w:t xml:space="preserve">Legater (valgfrit)</w:t>
      </w:r>
    </w:p>
    <w:p>
      <w:pPr>
        <w:spacing w:after="120" w:line="288" w:lineRule="auto"/>
      </w:pPr>
      <w:r>
        <w:rPr>
          <w:rFonts w:ascii="Calibri" w:cs="Calibri" w:eastAsia="Calibri" w:hAnsi="Calibri"/>
          <w:color w:val="1C1917"/>
          <w:sz w:val="22"/>
          <w:szCs w:val="22"/>
        </w:rPr>
        <w:t xml:space="preserve">Inden fordelingen ovenfor udbetales følgende legater: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shd w:fill="E8E6E1" w:color="auto" w:val="clear"/>
        </w:rPr>
        <w:t xml:space="preserve">[Navn]</w:t>
      </w:r>
      <w:r>
        <w:rPr>
          <w:rFonts w:ascii="Calibri" w:cs="Calibri" w:eastAsia="Calibri" w:hAnsi="Calibri"/>
          <w:color w:val="1C1917"/>
          <w:sz w:val="22"/>
          <w:szCs w:val="22"/>
        </w:rPr>
        <w:t xml:space="preserve">, født </w:t>
      </w:r>
      <w:r>
        <w:rPr>
          <w:rFonts w:ascii="Calibri" w:cs="Calibri" w:eastAsia="Calibri" w:hAnsi="Calibri"/>
          <w:color w:val="1C1917"/>
          <w:sz w:val="22"/>
          <w:szCs w:val="22"/>
          <w:shd w:fill="E8E6E1" w:color="auto" w:val="clear"/>
        </w:rPr>
        <w:t xml:space="preserve">[Fødselsdato]</w:t>
      </w:r>
      <w:r>
        <w:rPr>
          <w:rFonts w:ascii="Calibri" w:cs="Calibri" w:eastAsia="Calibri" w:hAnsi="Calibri"/>
          <w:color w:val="1C1917"/>
          <w:sz w:val="22"/>
          <w:szCs w:val="22"/>
        </w:rPr>
        <w:t xml:space="preserve">, skal have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shd w:fill="E8E6E1" w:color="auto" w:val="clear"/>
        </w:rPr>
        <w:t xml:space="preserve">[Navn]</w:t>
      </w:r>
      <w:r>
        <w:rPr>
          <w:rFonts w:ascii="Calibri" w:cs="Calibri" w:eastAsia="Calibri" w:hAnsi="Calibri"/>
          <w:color w:val="1C1917"/>
          <w:sz w:val="22"/>
          <w:szCs w:val="22"/>
        </w:rPr>
        <w:t xml:space="preserve">, født </w:t>
      </w:r>
      <w:r>
        <w:rPr>
          <w:rFonts w:ascii="Calibri" w:cs="Calibri" w:eastAsia="Calibri" w:hAnsi="Calibri"/>
          <w:color w:val="1C1917"/>
          <w:sz w:val="22"/>
          <w:szCs w:val="22"/>
          <w:shd w:fill="E8E6E1" w:color="auto" w:val="clear"/>
        </w:rPr>
        <w:t xml:space="preserve">[Fødselsdato]</w:t>
      </w:r>
      <w:r>
        <w:rPr>
          <w:rFonts w:ascii="Calibri" w:cs="Calibri" w:eastAsia="Calibri" w:hAnsi="Calibri"/>
          <w:color w:val="1C1917"/>
          <w:sz w:val="22"/>
          <w:szCs w:val="22"/>
        </w:rPr>
        <w:t xml:space="preserve">, skal have </w:t>
      </w:r>
      <w:r>
        <w:rPr>
          <w:rFonts w:ascii="Calibri" w:cs="Calibri" w:eastAsia="Calibri" w:hAnsi="Calibri"/>
          <w:color w:val="1C1917"/>
          <w:sz w:val="22"/>
          <w:szCs w:val="22"/>
          <w:shd w:fill="E8E6E1" w:color="auto" w:val="clear"/>
        </w:rPr>
        <w:t xml:space="preserve">[Bestemt genstand, fx ejendom, bil, værdipapirer i depot nr.]</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shd w:fill="E8E6E1" w:color="auto" w:val="clear"/>
        </w:rPr>
        <w:t xml:space="preserve">[Organisationens navn]</w:t>
      </w:r>
      <w:r>
        <w:rPr>
          <w:rFonts w:ascii="Calibri" w:cs="Calibri" w:eastAsia="Calibri" w:hAnsi="Calibri"/>
          <w:color w:val="1C1917"/>
          <w:sz w:val="22"/>
          <w:szCs w:val="22"/>
        </w:rPr>
        <w:t xml:space="preserve">, CVR-nr. </w:t>
      </w:r>
      <w:r>
        <w:rPr>
          <w:rFonts w:ascii="Calibri" w:cs="Calibri" w:eastAsia="Calibri" w:hAnsi="Calibri"/>
          <w:color w:val="1C1917"/>
          <w:sz w:val="22"/>
          <w:szCs w:val="22"/>
          <w:shd w:fill="E8E6E1" w:color="auto" w:val="clear"/>
        </w:rPr>
        <w:t xml:space="preserve">[CVR-nr.]</w:t>
      </w:r>
      <w:r>
        <w:rPr>
          <w:rFonts w:ascii="Calibri" w:cs="Calibri" w:eastAsia="Calibri" w:hAnsi="Calibri"/>
          <w:color w:val="1C1917"/>
          <w:sz w:val="22"/>
          <w:szCs w:val="22"/>
        </w:rPr>
        <w:t xml:space="preserve">, skal have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Eventuel boafgift af legaterne betales af </w:t>
      </w:r>
      <w:r>
        <w:rPr>
          <w:rFonts w:ascii="Calibri" w:cs="Calibri" w:eastAsia="Calibri" w:hAnsi="Calibri"/>
          <w:color w:val="1C1917"/>
          <w:sz w:val="22"/>
          <w:szCs w:val="22"/>
          <w:shd w:fill="E8E6E1" w:color="auto" w:val="clear"/>
        </w:rPr>
        <w:t xml:space="preserve">[legatarerne selv / boet, så legatarerne modtager beløbet uden fradrag]</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Angiv andele som brøker eller procenter, der tilsammen giver hele den frie del (eller hele formuen, hvis der ikke er tvangsarvinger). Angiv altid, hvem der får "resten", så intet falder uden for testamentet. Godkendte almennyttige organisationer kan være fritaget for boafgift - tjek det hos Skattestyrelsen.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Hvis en arving dør før mig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Er en testamentsarving død før mig, træder vedkommendes livsarvinger i dennes sted.</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Er en testamentsarving død før mig, tilfalder vedkommendes andel de øvrige testamentsarvinger i forhold til deres andele.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Er </w:t>
      </w:r>
      <w:r>
        <w:rPr>
          <w:rFonts w:ascii="Calibri" w:cs="Calibri" w:eastAsia="Calibri" w:hAnsi="Calibri"/>
          <w:color w:val="1C1917"/>
          <w:sz w:val="22"/>
          <w:szCs w:val="22"/>
          <w:shd w:fill="E8E6E1" w:color="auto" w:val="clear"/>
        </w:rPr>
        <w:t xml:space="preserve">[Navn]</w:t>
      </w:r>
      <w:r>
        <w:rPr>
          <w:rFonts w:ascii="Calibri" w:cs="Calibri" w:eastAsia="Calibri" w:hAnsi="Calibri"/>
          <w:color w:val="1C1917"/>
          <w:sz w:val="22"/>
          <w:szCs w:val="22"/>
        </w:rPr>
        <w:t xml:space="preserve"> død før mig, tilfalder </w:t>
      </w:r>
      <w:r>
        <w:rPr>
          <w:rFonts w:ascii="Calibri" w:cs="Calibri" w:eastAsia="Calibri" w:hAnsi="Calibri"/>
          <w:color w:val="1C1917"/>
          <w:sz w:val="22"/>
          <w:szCs w:val="22"/>
          <w:shd w:fill="E8E6E1" w:color="auto" w:val="clear"/>
        </w:rPr>
        <w:t xml:space="preserve">[vedkommendes andel / legatet]</w:t>
      </w:r>
      <w:r>
        <w:rPr>
          <w:rFonts w:ascii="Calibri" w:cs="Calibri" w:eastAsia="Calibri" w:hAnsi="Calibri"/>
          <w:color w:val="1C1917"/>
          <w:sz w:val="22"/>
          <w:szCs w:val="22"/>
        </w:rPr>
        <w:t xml:space="preserve"> </w:t>
      </w:r>
      <w:r>
        <w:rPr>
          <w:rFonts w:ascii="Calibri" w:cs="Calibri" w:eastAsia="Calibri" w:hAnsi="Calibri"/>
          <w:color w:val="1C1917"/>
          <w:sz w:val="22"/>
          <w:szCs w:val="22"/>
          <w:shd w:fill="E8E6E1" w:color="auto" w:val="clear"/>
        </w:rPr>
        <w:t xml:space="preserve">[Navn]</w:t>
      </w:r>
      <w:r>
        <w:rPr>
          <w:rFonts w:ascii="Calibri" w:cs="Calibri" w:eastAsia="Calibri" w:hAnsi="Calibri"/>
          <w:color w:val="1C1917"/>
          <w:sz w:val="22"/>
          <w:szCs w:val="22"/>
        </w:rPr>
        <w:t xml:space="preserve">, født </w:t>
      </w:r>
      <w:r>
        <w:rPr>
          <w:rFonts w:ascii="Calibri" w:cs="Calibri" w:eastAsia="Calibri" w:hAnsi="Calibri"/>
          <w:color w:val="1C1917"/>
          <w:sz w:val="22"/>
          <w:szCs w:val="22"/>
          <w:shd w:fill="E8E6E1" w:color="auto" w:val="clear"/>
        </w:rPr>
        <w:t xml:space="preserve">[Fødselsdato]</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Uden en bestemmelse om indtrædelse kan en andel bortfalde og i stedet gå til de legale arvinger. Vælg én løsning for alle arvinger, eller angiv den for hver arving.</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Særeje for arvingerne</w:t>
      </w:r>
    </w:p>
    <w:p>
      <w:pPr>
        <w:spacing w:after="120" w:line="288" w:lineRule="auto"/>
      </w:pPr>
      <w:r>
        <w:rPr>
          <w:rFonts w:ascii="Calibri" w:cs="Calibri" w:eastAsia="Calibri" w:hAnsi="Calibri"/>
          <w:color w:val="1C1917"/>
          <w:sz w:val="22"/>
          <w:szCs w:val="22"/>
        </w:rPr>
        <w:t xml:space="preserve">Det, mine arvinger arver efter mig, herunder tvangsarv, skal være arvingens:</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Fuldstændigt særeje - både ved separation/skilsmisse og ved død.</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Skilsmissesæreje - særeje ved separation/skilsmisse, men delingsformue ved død.</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Kombinationssæreje: </w:t>
      </w:r>
      <w:r>
        <w:rPr>
          <w:rFonts w:ascii="Calibri" w:cs="Calibri" w:eastAsia="Calibri" w:hAnsi="Calibri"/>
          <w:color w:val="1C1917"/>
          <w:sz w:val="22"/>
          <w:szCs w:val="22"/>
          <w:shd w:fill="E8E6E1" w:color="auto" w:val="clear"/>
        </w:rPr>
        <w:t xml:space="preserve">[Beskriv variant, fx fuldstændigt særeje hvis arvingen dør først, ellers skilsmissesæreje]</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Ingen særejebestemmelse.</w:t>
      </w:r>
    </w:p>
    <w:p>
      <w:pPr>
        <w:spacing w:after="120" w:line="288" w:lineRule="auto"/>
      </w:pPr>
      <w:r>
        <w:rPr>
          <w:rFonts w:ascii="Calibri" w:cs="Calibri" w:eastAsia="Calibri" w:hAnsi="Calibri"/>
          <w:color w:val="1C1917"/>
          <w:sz w:val="22"/>
          <w:szCs w:val="22"/>
        </w:rPr>
        <w:t xml:space="preserve">Særejet omfatter også det, der træder i arvens sted, samt indtægter og afkast heraf.</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En arving og dennes ægtefælle kan ved ægtepagt ændre særejet til delingsformue </w:t>
      </w:r>
      <w:r>
        <w:rPr>
          <w:rFonts w:ascii="Calibri" w:cs="Calibri" w:eastAsia="Calibri" w:hAnsi="Calibri"/>
          <w:color w:val="1C1917"/>
          <w:sz w:val="22"/>
          <w:szCs w:val="22"/>
          <w:shd w:fill="E8E6E1" w:color="auto" w:val="clear"/>
        </w:rPr>
        <w:t xml:space="preserve">[på følgende betingelser: (Betingelser)]</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Særeje skal fastsættes af arveladeren i testamentet; arvingen kan ikke selv tilføje det bagefter (ægtefælleloven § 23). Sumsæreje og sumdeling kan ikke fastsættes af arvelader. Ingen særejebestemmelse betyder, at arven bliver delingsformue, hvis arvingen er eller bliver gift.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Båndlæggelse (valgfrit)</w:t>
      </w:r>
    </w:p>
    <w:p>
      <w:pPr>
        <w:spacing w:after="120" w:line="288" w:lineRule="auto"/>
      </w:pPr>
      <w:r>
        <w:rPr>
          <w:rFonts w:ascii="Calibri" w:cs="Calibri" w:eastAsia="Calibri" w:hAnsi="Calibri"/>
          <w:color w:val="1C1917"/>
          <w:sz w:val="22"/>
          <w:szCs w:val="22"/>
        </w:rPr>
        <w:t xml:space="preserve">Arv til </w:t>
      </w:r>
      <w:r>
        <w:rPr>
          <w:rFonts w:ascii="Calibri" w:cs="Calibri" w:eastAsia="Calibri" w:hAnsi="Calibri"/>
          <w:color w:val="1C1917"/>
          <w:sz w:val="22"/>
          <w:szCs w:val="22"/>
          <w:shd w:fill="E8E6E1" w:color="auto" w:val="clear"/>
        </w:rPr>
        <w:t xml:space="preserve">[Navn]</w:t>
      </w:r>
      <w:r>
        <w:rPr>
          <w:rFonts w:ascii="Calibri" w:cs="Calibri" w:eastAsia="Calibri" w:hAnsi="Calibri"/>
          <w:color w:val="1C1917"/>
          <w:sz w:val="22"/>
          <w:szCs w:val="22"/>
        </w:rPr>
        <w:t xml:space="preserve"> skal båndlægges, indtil vedkommende fylder </w:t>
      </w:r>
      <w:r>
        <w:rPr>
          <w:rFonts w:ascii="Calibri" w:cs="Calibri" w:eastAsia="Calibri" w:hAnsi="Calibri"/>
          <w:color w:val="1C1917"/>
          <w:sz w:val="22"/>
          <w:szCs w:val="22"/>
          <w:shd w:fill="E8E6E1" w:color="auto" w:val="clear"/>
        </w:rPr>
        <w:t xml:space="preserve">[Alder]</w:t>
      </w:r>
      <w:r>
        <w:rPr>
          <w:rFonts w:ascii="Calibri" w:cs="Calibri" w:eastAsia="Calibri" w:hAnsi="Calibri"/>
          <w:color w:val="1C1917"/>
          <w:sz w:val="22"/>
          <w:szCs w:val="22"/>
        </w:rPr>
        <w:t xml:space="preserve"> år. Den båndlagte arv anbringes i en godkendt forvaltningsafdeling </w:t>
      </w:r>
      <w:r>
        <w:rPr>
          <w:rFonts w:ascii="Calibri" w:cs="Calibri" w:eastAsia="Calibri" w:hAnsi="Calibri"/>
          <w:color w:val="1C1917"/>
          <w:sz w:val="22"/>
          <w:szCs w:val="22"/>
          <w:shd w:fill="E8E6E1" w:color="auto" w:val="clear"/>
        </w:rPr>
        <w:t xml:space="preserve">[fx i (Pengeinstitut)]</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Båndlæggelse beskytter arv til unge mod, at den bruges med det samme. Tvangsarv kan kun båndlægges, indtil arvingen fylder 25 år (arveloven § 53); den frie del kan båndlægges længere (§ 61). Båndlagt arv er skilsmissesæreje, medmindre testamentet bestemmer andet (§ 58) - bestemmelsen om særeje ovenfor gælder også den båndlagte arv. Arv til børn under 18 år forvaltes under alle omstændigheder af værgen efter værgemålsloven.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9.</w:t>
      </w:r>
      <w:r>
        <w:rPr>
          <w:rFonts w:ascii="Calibri" w:cs="Calibri" w:eastAsia="Calibri" w:hAnsi="Calibri"/>
          <w:sz w:val="26"/>
          <w:szCs w:val="26"/>
        </w:rPr>
        <w:t xml:space="preserve">	</w:t>
      </w:r>
      <w:r>
        <w:rPr>
          <w:rFonts w:ascii="Calibri" w:cs="Calibri" w:eastAsia="Calibri" w:hAnsi="Calibri"/>
          <w:b/>
          <w:bCs/>
          <w:color w:val="28394A"/>
          <w:sz w:val="26"/>
          <w:szCs w:val="26"/>
        </w:rPr>
        <w:t xml:space="preserve">Særlige bestemmelser (valgfrit)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shd w:fill="E8E6E1" w:color="auto" w:val="clear"/>
        </w:rPr>
        <w:t xml:space="preserve">[Navn]</w:t>
      </w:r>
      <w:r>
        <w:rPr>
          <w:rFonts w:ascii="Calibri" w:cs="Calibri" w:eastAsia="Calibri" w:hAnsi="Calibri"/>
          <w:color w:val="1C1917"/>
          <w:sz w:val="22"/>
          <w:szCs w:val="22"/>
        </w:rPr>
        <w:t xml:space="preserve"> har ret til at overtage </w:t>
      </w:r>
      <w:r>
        <w:rPr>
          <w:rFonts w:ascii="Calibri" w:cs="Calibri" w:eastAsia="Calibri" w:hAnsi="Calibri"/>
          <w:color w:val="1C1917"/>
          <w:sz w:val="22"/>
          <w:szCs w:val="22"/>
          <w:shd w:fill="E8E6E1" w:color="auto" w:val="clear"/>
        </w:rPr>
        <w:t xml:space="preserve">[Aktiv, fx ejendommen (adresse)]</w:t>
      </w:r>
      <w:r>
        <w:rPr>
          <w:rFonts w:ascii="Calibri" w:cs="Calibri" w:eastAsia="Calibri" w:hAnsi="Calibri"/>
          <w:color w:val="1C1917"/>
          <w:sz w:val="22"/>
          <w:szCs w:val="22"/>
        </w:rPr>
        <w:t xml:space="preserve"> til vurderingsbeløbet med modregning i sin arv. Overstiger værdien arven, betaler </w:t>
      </w:r>
      <w:r>
        <w:rPr>
          <w:rFonts w:ascii="Calibri" w:cs="Calibri" w:eastAsia="Calibri" w:hAnsi="Calibri"/>
          <w:color w:val="1C1917"/>
          <w:sz w:val="22"/>
          <w:szCs w:val="22"/>
          <w:shd w:fill="E8E6E1" w:color="auto" w:val="clear"/>
        </w:rPr>
        <w:t xml:space="preserve">[Navn]</w:t>
      </w:r>
      <w:r>
        <w:rPr>
          <w:rFonts w:ascii="Calibri" w:cs="Calibri" w:eastAsia="Calibri" w:hAnsi="Calibri"/>
          <w:color w:val="1C1917"/>
          <w:sz w:val="22"/>
          <w:szCs w:val="22"/>
        </w:rPr>
        <w:t xml:space="preserve"> forskellen kontant til boet.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Udvidet samlevertestamente: Min samlever, </w:t>
      </w:r>
      <w:r>
        <w:rPr>
          <w:rFonts w:ascii="Calibri" w:cs="Calibri" w:eastAsia="Calibri" w:hAnsi="Calibri"/>
          <w:color w:val="1C1917"/>
          <w:sz w:val="22"/>
          <w:szCs w:val="22"/>
          <w:shd w:fill="E8E6E1" w:color="auto" w:val="clear"/>
        </w:rPr>
        <w:t xml:space="preserve">[Navn]</w:t>
      </w:r>
      <w:r>
        <w:rPr>
          <w:rFonts w:ascii="Calibri" w:cs="Calibri" w:eastAsia="Calibri" w:hAnsi="Calibri"/>
          <w:color w:val="1C1917"/>
          <w:sz w:val="22"/>
          <w:szCs w:val="22"/>
        </w:rPr>
        <w:t xml:space="preserve">, født </w:t>
      </w:r>
      <w:r>
        <w:rPr>
          <w:rFonts w:ascii="Calibri" w:cs="Calibri" w:eastAsia="Calibri" w:hAnsi="Calibri"/>
          <w:color w:val="1C1917"/>
          <w:sz w:val="22"/>
          <w:szCs w:val="22"/>
          <w:shd w:fill="E8E6E1" w:color="auto" w:val="clear"/>
        </w:rPr>
        <w:t xml:space="preserve">[Fødselsdato]</w:t>
      </w:r>
      <w:r>
        <w:rPr>
          <w:rFonts w:ascii="Calibri" w:cs="Calibri" w:eastAsia="Calibri" w:hAnsi="Calibri"/>
          <w:color w:val="1C1917"/>
          <w:sz w:val="22"/>
          <w:szCs w:val="22"/>
        </w:rPr>
        <w:t xml:space="preserve">, skal arve mig, som om vi havde været gift, jf. arvelovens regler om udvidet samlevertestamente.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shd w:fill="E8E6E1" w:color="auto" w:val="clear"/>
        </w:rPr>
        <w:t xml:space="preserve">[Anden bestemmelse]</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Overtagelsesret: arveloven § 50, stk. 2, og § 59.</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Udvidet samlevertestamente (arveloven §§ 87-89) skal oprettes af begge samlevere, typisk som et fælles testamente - denne skabelon er til én person. Ved dødsfaldet skal samleverne have boet sammen på fælles bopæl og enten have, have haft eller vente et fælles barn eller have boet sammen i et ægteskabslignende forhold i de sidste 2 år (§ 88). Der gælder ikke tvangsarv for samleveren og ingen ret til uskiftet bo (§ 87, stk. 2-3). Testamentet bortfalder, hvis I gifter jer (§ 89). Få det gennemgået af en advokat.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10.</w:t>
      </w:r>
      <w:r>
        <w:rPr>
          <w:rFonts w:ascii="Calibri" w:cs="Calibri" w:eastAsia="Calibri" w:hAnsi="Calibri"/>
          <w:sz w:val="26"/>
          <w:szCs w:val="26"/>
        </w:rPr>
        <w:t xml:space="preserve">	</w:t>
      </w:r>
      <w:r>
        <w:rPr>
          <w:rFonts w:ascii="Calibri" w:cs="Calibri" w:eastAsia="Calibri" w:hAnsi="Calibri"/>
          <w:b/>
          <w:bCs/>
          <w:color w:val="28394A"/>
          <w:sz w:val="26"/>
          <w:szCs w:val="26"/>
        </w:rPr>
        <w:t xml:space="preserve">Indbo og personlige genstande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Fordelingen af mit indbo og mine personlige genstande skal ske efter en dateret og underskrevet erklæring fra mig, jf. arvelovens § 66. Den seneste erklæring går forud for tidligere erklæringer. Genstande, der ikke er nævnt i en sådan erklæring, indgår i den øvrige fordeling.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Mit indbo og mine personlige genstande indgår i den øvrige fordeling.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Brug bilaget bagest. Erklæringen kræver ikke notar eller vidner, kun dato og underskrift, og kan ændres løbende ved en ny erklæring. Den gælder kun sædvanligt indbo og personlige effekter - værdifulde aktiver (fx bil, kunst af større værdi, værdipapirer) hører hjemme i selve testamentet.</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Får en arving en genstand efter erklæringen, regnes den som en del af arvingens arv til vurderingsbeløbet - medmindre andet står i erklæringen (arveloven § 66, stk. 2).</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Bobestyrer og ønsker for børn (valgfrit)</w:t>
      </w:r>
    </w:p>
    <w:p>
      <w:pPr>
        <w:spacing w:after="120" w:line="288" w:lineRule="auto"/>
      </w:pPr>
      <w:r>
        <w:rPr>
          <w:rFonts w:ascii="Calibri" w:cs="Calibri" w:eastAsia="Calibri" w:hAnsi="Calibri"/>
          <w:color w:val="1C1917"/>
          <w:sz w:val="22"/>
          <w:szCs w:val="22"/>
        </w:rPr>
        <w:t xml:space="preserve">Jeg ønsker, at mit bo behandles af </w:t>
      </w:r>
      <w:r>
        <w:rPr>
          <w:rFonts w:ascii="Calibri" w:cs="Calibri" w:eastAsia="Calibri" w:hAnsi="Calibri"/>
          <w:color w:val="1C1917"/>
          <w:sz w:val="22"/>
          <w:szCs w:val="22"/>
          <w:shd w:fill="E8E6E1" w:color="auto" w:val="clear"/>
        </w:rPr>
        <w:t xml:space="preserve">[Navn på advokat / advokatfirma, adresse]</w:t>
      </w:r>
      <w:r>
        <w:rPr>
          <w:rFonts w:ascii="Calibri" w:cs="Calibri" w:eastAsia="Calibri" w:hAnsi="Calibri"/>
          <w:color w:val="1C1917"/>
          <w:sz w:val="22"/>
          <w:szCs w:val="22"/>
        </w:rPr>
        <w:t xml:space="preserve"> som bobestyrer.</w:t>
      </w:r>
    </w:p>
    <w:p>
      <w:pPr>
        <w:spacing w:after="120" w:line="288" w:lineRule="auto"/>
      </w:pPr>
      <w:r>
        <w:rPr>
          <w:rFonts w:ascii="Calibri" w:cs="Calibri" w:eastAsia="Calibri" w:hAnsi="Calibri"/>
          <w:color w:val="1C1917"/>
          <w:sz w:val="22"/>
          <w:szCs w:val="22"/>
        </w:rPr>
        <w:t xml:space="preserve">Har jeg ved min død børn under 18 år, og er der ingen anden forælder med forældremyndighed, ønsker jeg, at forældremyndigheden gives til </w:t>
      </w:r>
      <w:r>
        <w:rPr>
          <w:rFonts w:ascii="Calibri" w:cs="Calibri" w:eastAsia="Calibri" w:hAnsi="Calibri"/>
          <w:color w:val="1C1917"/>
          <w:sz w:val="22"/>
          <w:szCs w:val="22"/>
          <w:shd w:fill="E8E6E1" w:color="auto" w:val="clear"/>
        </w:rPr>
        <w:t xml:space="preserve">[Navn]</w:t>
      </w:r>
      <w:r>
        <w:rPr>
          <w:rFonts w:ascii="Calibri" w:cs="Calibri" w:eastAsia="Calibri" w:hAnsi="Calibri"/>
          <w:color w:val="1C1917"/>
          <w:sz w:val="22"/>
          <w:szCs w:val="22"/>
        </w:rPr>
        <w:t xml:space="preserve">, født </w:t>
      </w:r>
      <w:r>
        <w:rPr>
          <w:rFonts w:ascii="Calibri" w:cs="Calibri" w:eastAsia="Calibri" w:hAnsi="Calibri"/>
          <w:color w:val="1C1917"/>
          <w:sz w:val="22"/>
          <w:szCs w:val="22"/>
          <w:shd w:fill="E8E6E1" w:color="auto" w:val="clear"/>
        </w:rPr>
        <w:t xml:space="preserve">[Fødselsdato]</w:t>
      </w:r>
      <w:r>
        <w:rPr>
          <w:rFonts w:ascii="Calibri" w:cs="Calibri" w:eastAsia="Calibri" w:hAnsi="Calibri"/>
          <w:color w:val="1C1917"/>
          <w:sz w:val="22"/>
          <w:szCs w:val="22"/>
        </w:rPr>
        <w:t xml:space="preserve">, </w:t>
      </w:r>
      <w:r>
        <w:rPr>
          <w:rFonts w:ascii="Calibri" w:cs="Calibri" w:eastAsia="Calibri" w:hAnsi="Calibri"/>
          <w:color w:val="1C1917"/>
          <w:sz w:val="22"/>
          <w:szCs w:val="22"/>
          <w:shd w:fill="E8E6E1" w:color="auto" w:val="clear"/>
        </w:rPr>
        <w:t xml:space="preserve">[Adresse]</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Ønsket om bobestyrer og om forældremyndighed binder ikke skifteretten eller Familieretshuset, men indgår i vurderingen (forældremyndighed: forældreansvarsloven § 16). Begravelsesønsker hører ikke hjemme i testamentet, som ofte først læses efter begravelsen - skriv dem i et separat dokument og fortæl de nærmeste, hvor det ligger.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Underskrift</w:t>
      </w:r>
    </w:p>
    <w:p>
      <w:pPr>
        <w:spacing w:after="120" w:line="288" w:lineRule="auto"/>
      </w:pPr>
      <w:r>
        <w:rPr>
          <w:rFonts w:ascii="Calibri" w:cs="Calibri" w:eastAsia="Calibri" w:hAnsi="Calibri"/>
          <w:color w:val="1C1917"/>
          <w:sz w:val="22"/>
          <w:szCs w:val="22"/>
        </w:rPr>
        <w:t xml:space="preserve">Testamentet er oprettet i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eksemplarer.</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Testator</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tc>
      </w:tr>
    </w:tbl>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b/>
          <w:bCs/>
          <w:color w:val="3F3A33"/>
          <w:sz w:val="19"/>
          <w:szCs w:val="19"/>
        </w:rPr>
        <w:t xml:space="preserve">Notartestamente:</w:t>
      </w:r>
      <w:r>
        <w:rPr>
          <w:rFonts w:ascii="Calibri" w:cs="Calibri" w:eastAsia="Calibri" w:hAnsi="Calibri"/>
          <w:color w:val="3F3A33"/>
          <w:sz w:val="19"/>
          <w:szCs w:val="19"/>
        </w:rPr>
        <w:t xml:space="preserve"> Underskriv ikke på forhånd, og slet vidneerklæringen nedenfor. Notaren påfører sin egen påtegning.</w:t>
      </w:r>
    </w:p>
    <w:p>
      <w:pPr>
        <w:keepNext/>
        <w:keepLines/>
        <w:pBdr>
          <w:left w:val="single" w:color="C9A66B" w:sz="18" w:space="10"/>
        </w:pBdr>
        <w:shd w:fill="F7F3EC" w:color="auto" w:val="clear"/>
        <w:spacing w:after="60" w:line="270" w:lineRule="auto"/>
        <w:ind w:left="200" w:right="200"/>
      </w:pPr>
      <w:r>
        <w:rPr>
          <w:rFonts w:ascii="Calibri" w:cs="Calibri" w:eastAsia="Calibri" w:hAnsi="Calibri"/>
          <w:b/>
          <w:bCs/>
          <w:color w:val="3F3A33"/>
          <w:sz w:val="19"/>
          <w:szCs w:val="19"/>
        </w:rPr>
        <w:t xml:space="preserve">Vidnetestamente:</w:t>
      </w:r>
      <w:r>
        <w:rPr>
          <w:rFonts w:ascii="Calibri" w:cs="Calibri" w:eastAsia="Calibri" w:hAnsi="Calibri"/>
          <w:color w:val="3F3A33"/>
          <w:sz w:val="19"/>
          <w:szCs w:val="19"/>
        </w:rPr>
        <w:t xml:space="preserve"> Testator og begge vidner skal være til stede samtidig. Vidnerne skriver deres navne på testamentet straks efter testator (arveloven § 64, stk. 1). Udfyld også resten af erklæringen - den er ikke et gyldighedskrav, men gør testamentet langt lettere at anerkende, hvis vidnerne ikke kan findes ved dødsfaldet (§ 64, stk. 5).</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God praksis: nummerér siderne "side x af y", og lad testator skrive initialer på hver side.</w:t>
      </w:r>
    </w:p>
    <w:p>
      <w:pPr>
        <w:keepNext/>
        <w:spacing w:after="80" w:before="220"/>
      </w:pPr>
      <w:r>
        <w:rPr>
          <w:rFonts w:ascii="Calibri" w:cs="Calibri" w:eastAsia="Calibri" w:hAnsi="Calibri"/>
          <w:b/>
          <w:bCs/>
          <w:color w:val="28394A"/>
          <w:sz w:val="22"/>
          <w:szCs w:val="22"/>
        </w:rPr>
        <w:t xml:space="preserve">Vidnernes erklæring (kun vidnetestamente)</w:t>
      </w:r>
    </w:p>
    <w:p>
      <w:pPr>
        <w:spacing w:after="120" w:line="288" w:lineRule="auto"/>
      </w:pPr>
      <w:r>
        <w:rPr>
          <w:rFonts w:ascii="Calibri" w:cs="Calibri" w:eastAsia="Calibri" w:hAnsi="Calibri"/>
          <w:color w:val="1C1917"/>
          <w:sz w:val="22"/>
          <w:szCs w:val="22"/>
        </w:rPr>
        <w:t xml:space="preserve">Vi bekræfter, at vi begge er fyldt 18 år, at vi efter testators ønske var til stede samtidig, da testator </w:t>
      </w:r>
      <w:r>
        <w:rPr>
          <w:rFonts w:ascii="Calibri" w:cs="Calibri" w:eastAsia="Calibri" w:hAnsi="Calibri"/>
          <w:color w:val="1C1917"/>
          <w:sz w:val="22"/>
          <w:szCs w:val="22"/>
          <w:shd w:fill="E8E6E1" w:color="auto" w:val="clear"/>
        </w:rPr>
        <w:t xml:space="preserve">[underskrev / vedkendte sig underskriften på]</w:t>
      </w:r>
      <w:r>
        <w:rPr>
          <w:rFonts w:ascii="Calibri" w:cs="Calibri" w:eastAsia="Calibri" w:hAnsi="Calibri"/>
          <w:color w:val="1C1917"/>
          <w:sz w:val="22"/>
          <w:szCs w:val="22"/>
        </w:rPr>
        <w:t xml:space="preserve"> dette dokument, og at vi vidste, at dokumentet er testators testamente. Testator var efter vores opfattelse i stand til at oprette testamente på fornuftig måde. Ingen af os er begunstiget efter testamentet eller nærtstående til nogen, der er begunstiget.</w:t>
      </w:r>
    </w:p>
    <w:p>
      <w:pPr>
        <w:spacing w:after="120" w:line="288" w:lineRule="auto"/>
      </w:pPr>
      <w:r>
        <w:rPr>
          <w:rFonts w:ascii="Calibri" w:cs="Calibri" w:eastAsia="Calibri" w:hAnsi="Calibri"/>
          <w:color w:val="1C1917"/>
          <w:sz w:val="22"/>
          <w:szCs w:val="22"/>
        </w:rPr>
        <w:t xml:space="preserve">Andre forhold af betydning: </w:t>
      </w:r>
      <w:r>
        <w:rPr>
          <w:rFonts w:ascii="Calibri" w:cs="Calibri" w:eastAsia="Calibri" w:hAnsi="Calibri"/>
          <w:color w:val="1C1917"/>
          <w:sz w:val="22"/>
          <w:szCs w:val="22"/>
          <w:shd w:fill="E8E6E1" w:color="auto" w:val="clear"/>
        </w:rPr>
        <w:t xml:space="preserve">[Fx testator læste testamentet højt / Ingen]</w:t>
      </w:r>
      <w:r>
        <w:rPr>
          <w:rFonts w:ascii="Calibri" w:cs="Calibri" w:eastAsia="Calibri" w:hAnsi="Calibri"/>
          <w:color w:val="1C1917"/>
          <w:sz w:val="22"/>
          <w:szCs w:val="22"/>
        </w:rPr>
        <w:t xml:space="preserve">.</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177"/>
        <w:gridCol w:w="3447"/>
        <w:gridCol w:w="3447"/>
      </w:tblGrid>
      <w:tr>
        <w:trPr>
          <w:tblHeader/>
        </w:trPr>
        <w:tc>
          <w:tcPr>
            <w:tcW w:type="dxa" w:w="2177"/>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 </w:t>
            </w:r>
          </w:p>
        </w:tc>
        <w:tc>
          <w:tcPr>
            <w:tcW w:type="dxa" w:w="3447"/>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Vidne 1</w:t>
            </w:r>
          </w:p>
        </w:tc>
        <w:tc>
          <w:tcPr>
            <w:tcW w:type="dxa" w:w="3447"/>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Vidne 2</w:t>
            </w:r>
          </w:p>
        </w:tc>
      </w:tr>
      <w:tr>
        <w:trPr>
          <w:cantSplit/>
        </w:trPr>
        <w:tc>
          <w:tcPr>
            <w:tcW w:type="dxa" w:w="217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Underskrift</w:t>
            </w:r>
          </w:p>
        </w:tc>
        <w:tc>
          <w:tcPr>
            <w:tcW w:type="dxa" w:w="34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34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217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Navn (blokbogstaver)</w:t>
            </w:r>
          </w:p>
        </w:tc>
        <w:tc>
          <w:tcPr>
            <w:tcW w:type="dxa" w:w="34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34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217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Stilling</w:t>
            </w:r>
          </w:p>
        </w:tc>
        <w:tc>
          <w:tcPr>
            <w:tcW w:type="dxa" w:w="34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34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217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Bopæl</w:t>
            </w:r>
          </w:p>
        </w:tc>
        <w:tc>
          <w:tcPr>
            <w:tcW w:type="dxa" w:w="34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34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217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Sted</w:t>
            </w:r>
          </w:p>
        </w:tc>
        <w:tc>
          <w:tcPr>
            <w:tcW w:type="dxa" w:w="34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34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217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Dato og klokkeslæt</w:t>
            </w:r>
          </w:p>
        </w:tc>
        <w:tc>
          <w:tcPr>
            <w:tcW w:type="dxa" w:w="34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34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Vidnerne skal være fyldt 18 år. Inhabil er den, som testamentet begunstiger, og den, hvis ægtefælle, samlever, slægtninge i op- eller nedstigende linje, søskende eller andre nærtstående begunstiges. Det samme gælder den, der har en særlig interesse i en begunstiget person eller organisation (arveloven § 64, stk. 3). En indsat bobestyrer må gerne være vidne (§ 64, stk. 4). Brug fx to naboer eller kolleger uden tilknytning til arvingerne.</w:t>
      </w:r>
    </w:p>
    <w:p>
      <w:pPr>
        <w:pageBreakBefore/>
      </w:pPr>
    </w:p>
    <w:p>
      <w:pPr>
        <w:keepNext/>
        <w:spacing w:after="80" w:before="220"/>
      </w:pPr>
      <w:r>
        <w:rPr>
          <w:rFonts w:ascii="Calibri" w:cs="Calibri" w:eastAsia="Calibri" w:hAnsi="Calibri"/>
          <w:b/>
          <w:bCs/>
          <w:color w:val="28394A"/>
          <w:sz w:val="22"/>
          <w:szCs w:val="22"/>
        </w:rPr>
        <w:t xml:space="preserve">Bilag: Erklæring om fordeling af indbo og personlige genstande</w:t>
      </w:r>
    </w:p>
    <w:p>
      <w:pPr>
        <w:spacing w:after="120" w:line="288" w:lineRule="auto"/>
      </w:pPr>
      <w:r>
        <w:rPr>
          <w:rFonts w:ascii="Calibri" w:cs="Calibri" w:eastAsia="Calibri" w:hAnsi="Calibri"/>
          <w:color w:val="1C1917"/>
          <w:sz w:val="22"/>
          <w:szCs w:val="22"/>
        </w:rPr>
        <w:t xml:space="preserve">Jeg, </w:t>
      </w:r>
      <w:r>
        <w:rPr>
          <w:rFonts w:ascii="Calibri" w:cs="Calibri" w:eastAsia="Calibri" w:hAnsi="Calibri"/>
          <w:color w:val="1C1917"/>
          <w:sz w:val="22"/>
          <w:szCs w:val="22"/>
          <w:shd w:fill="E8E6E1" w:color="auto" w:val="clear"/>
        </w:rPr>
        <w:t xml:space="preserve">[Fulde navn]</w:t>
      </w:r>
      <w:r>
        <w:rPr>
          <w:rFonts w:ascii="Calibri" w:cs="Calibri" w:eastAsia="Calibri" w:hAnsi="Calibri"/>
          <w:color w:val="1C1917"/>
          <w:sz w:val="22"/>
          <w:szCs w:val="22"/>
        </w:rPr>
        <w:t xml:space="preserve">, født </w:t>
      </w:r>
      <w:r>
        <w:rPr>
          <w:rFonts w:ascii="Calibri" w:cs="Calibri" w:eastAsia="Calibri" w:hAnsi="Calibri"/>
          <w:color w:val="1C1917"/>
          <w:sz w:val="22"/>
          <w:szCs w:val="22"/>
          <w:shd w:fill="E8E6E1" w:color="auto" w:val="clear"/>
        </w:rPr>
        <w:t xml:space="preserve">[Fødselsdato]</w:t>
      </w:r>
      <w:r>
        <w:rPr>
          <w:rFonts w:ascii="Calibri" w:cs="Calibri" w:eastAsia="Calibri" w:hAnsi="Calibri"/>
          <w:color w:val="1C1917"/>
          <w:sz w:val="22"/>
          <w:szCs w:val="22"/>
        </w:rPr>
        <w:t xml:space="preserve">, bestemmer hermed, at følgende genstande ved min død skal tilfalde de nævnte personer, jf. arvelovens § 66:</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4535"/>
        <w:gridCol w:w="2721"/>
        <w:gridCol w:w="1814"/>
      </w:tblGrid>
      <w:tr>
        <w:trPr>
          <w:tblHeader/>
        </w:trPr>
        <w:tc>
          <w:tcPr>
            <w:tcW w:type="dxa" w:w="4535"/>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Genstand (beskriv præcist)</w:t>
            </w:r>
          </w:p>
        </w:tc>
        <w:tc>
          <w:tcPr>
            <w:tcW w:type="dxa" w:w="2721"/>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Skal tilfalde</w:t>
            </w:r>
          </w:p>
        </w:tc>
        <w:tc>
          <w:tcPr>
            <w:tcW w:type="dxa" w:w="181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Fødselsdato</w:t>
            </w:r>
          </w:p>
        </w:tc>
      </w:tr>
      <w:tr>
        <w:trPr>
          <w:cantSplit/>
        </w:trPr>
        <w:tc>
          <w:tcPr>
            <w:tcW w:type="dxa" w:w="453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453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453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453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453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453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453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453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spacing w:after="120" w:line="288" w:lineRule="auto"/>
      </w:pPr>
      <w:r>
        <w:rPr>
          <w:rFonts w:ascii="Calibri" w:cs="Calibri" w:eastAsia="Calibri" w:hAnsi="Calibri"/>
          <w:color w:val="1C1917"/>
          <w:sz w:val="22"/>
          <w:szCs w:val="22"/>
        </w:rPr>
        <w:t xml:space="preserve">Er modtageren også arving efter mig, skal genstanden </w:t>
      </w:r>
      <w:r>
        <w:rPr>
          <w:rFonts w:ascii="Calibri" w:cs="Calibri" w:eastAsia="Calibri" w:hAnsi="Calibri"/>
          <w:color w:val="1C1917"/>
          <w:sz w:val="22"/>
          <w:szCs w:val="22"/>
          <w:shd w:fill="E8E6E1" w:color="auto" w:val="clear"/>
        </w:rPr>
        <w:t xml:space="preserve">[indgå i arvingens arv til vurderingsbeløbet / gives ud over arvingens arv]</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Denne erklæring erstatter alle tidligere erklæringer om fordeling af mit indbo og mine personlige genstande.</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Testator</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tc>
      </w:tr>
    </w:tbl>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Beskriv genstandene, så de kan genkendes ("mormors guldring med rød sten", ikke "smykkerne"). Erklæringen skal dateres og underskrives for at være gyldig. Opbevar den sammen med eller tæt på testamentet, og lav en ny erklæring, hvis du ændrer fordelingen.</w:t>
      </w:r>
    </w:p>
    <w:sectPr>
      <w:headerReference w:type="default" r:id="rId10"/>
      <w:footerReference w:type="default" r:id="rId11"/>
      <w:pgSz w:w="11906" w:h="16838" w:orient="portrait"/>
      <w:pgMar w:top="1418" w:right="1418" w:bottom="1300" w:left="1418" w:header="560" w:footer="560"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F6B76"/>
        <w:sz w:val="15"/>
        <w:szCs w:val="15"/>
      </w:rPr>
      <w:t xml:space="preserve">Vejledning - slettes før brug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DE1" w:sz="4" w:space="6"/>
      </w:pBdr>
      <w:tabs>
        <w:tab w:val="right" w:pos="9026"/>
      </w:tabs>
    </w:pPr>
    <w:r>
      <w:rPr>
        <w:rFonts w:ascii="Calibri" w:cs="Calibri" w:eastAsia="Calibri" w:hAnsi="Calibri"/>
        <w:color w:val="5F6B76"/>
        <w:sz w:val="15"/>
        <w:szCs w:val="15"/>
      </w:rPr>
      <w:t xml:space="preserve">Skabelon fra Lovguiden  ·  </w:t>
    </w:r>
    <w:hyperlink w:history="1" r:id="rIdmakjkgnge0dohfyy-pjio">
      <w:r>
        <w:rPr>
          <w:rFonts w:ascii="Calibri" w:cs="Calibri" w:eastAsia="Calibri" w:hAnsi="Calibri"/>
          <w:color w:val="1E4FA3"/>
          <w:sz w:val="15"/>
          <w:szCs w:val="15"/>
          <w:u w:val="single"/>
        </w:rPr>
        <w:t xml:space="preserve">lovguiden.dk/praksisoversigt/privat-og-familie/testamente</w:t>
      </w:r>
    </w:hyperlink>
    <w:r>
      <w:rPr>
        <w:rFonts w:ascii="Calibri" w:cs="Calibri" w:eastAsia="Calibri" w:hAnsi="Calibri"/>
        <w:sz w:val="15"/>
        <w:szCs w:val="15"/>
      </w:rPr>
      <w:t xml:space="preserve">	</w:t>
    </w:r>
    <w:r>
      <w:rPr>
        <w:rFonts w:ascii="Calibri" w:cs="Calibri" w:eastAsia="Calibri" w:hAnsi="Calibri"/>
        <w:color w:val="5F6B76"/>
        <w:sz w:val="15"/>
        <w:szCs w:val="15"/>
      </w:rPr>
      <w:t xml:space="preserve">Side </w:t>
    </w:r>
    <w:r>
      <w:rPr>
        <w:rFonts w:ascii="Calibri" w:cs="Calibri" w:eastAsia="Calibri" w:hAnsi="Calibri"/>
        <w:color w:val="5F6B76"/>
        <w:sz w:val="15"/>
        <w:szCs w:val="15"/>
      </w:rPr>
      <w:fldChar w:fldCharType="begin"/>
    </w:r>
    <w:r>
      <w:rPr>
        <w:rFonts w:ascii="Calibri" w:cs="Calibri" w:eastAsia="Calibri" w:hAnsi="Calibri"/>
        <w:color w:val="5F6B76"/>
        <w:sz w:val="15"/>
        <w:szCs w:val="15"/>
      </w:rPr>
      <w:instrText xml:space="preserve">PAGE</w:instrText>
    </w:r>
    <w:r>
      <w:rPr>
        <w:rFonts w:ascii="Calibri" w:cs="Calibri" w:eastAsia="Calibri" w:hAnsi="Calibri"/>
        <w:color w:val="5F6B76"/>
        <w:sz w:val="15"/>
        <w:szCs w:val="15"/>
      </w:rPr>
      <w:fldChar w:fldCharType="separate"/>
    </w:r>
    <w:r>
      <w:rPr>
        <w:rFonts w:ascii="Calibri" w:cs="Calibri" w:eastAsia="Calibri" w:hAnsi="Calibri"/>
        <w:color w:val="5F6B7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7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uojqn4u7otl59hcuonxit">
      <w:r>
        <w:rPr>
          <w:rFonts w:ascii="Calibri" w:cs="Calibri" w:eastAsia="Calibri" w:hAnsi="Calibri"/>
          <w:color w:val="1E4FA3"/>
          <w:sz w:val="16"/>
          <w:szCs w:val="16"/>
          <w:u w:val="single"/>
        </w:rPr>
        <w:t xml:space="preserve">www.lovguiden.dk</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7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gsyfil7osc61eygmg2euq">
      <w:r>
        <w:rPr>
          <w:rFonts w:ascii="Calibri" w:cs="Calibri" w:eastAsia="Calibri" w:hAnsi="Calibri"/>
          <w:color w:val="1E4FA3"/>
          <w:sz w:val="16"/>
          <w:szCs w:val="16"/>
          <w:u w:val="single"/>
        </w:rPr>
        <w:t xml:space="preserve">www.lovguiden.dk</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1917"/>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koo9zfwf_rbmbdx3fp-pz" Type="http://schemas.openxmlformats.org/officeDocument/2006/relationships/hyperlink" Target="https://www.lovguiden.dk" TargetMode="External"/><Relationship Id="rId6mypmruf_yriht14dqjjs" Type="http://schemas.openxmlformats.org/officeDocument/2006/relationships/hyperlink" Target="https://www.lovguiden.dk/praksisoversigt/privat-og-familie/testamente" TargetMode="External"/><Relationship Id="rIdc4edrwtdplg8-rlwc18js" Type="http://schemas.openxmlformats.org/officeDocument/2006/relationships/hyperlink" Target="https://www.lovguiden.dk/praksisoversigt/privat-og-familie/testamente" TargetMode="External"/><Relationship Id="rId16" Type="http://schemas.openxmlformats.org/officeDocument/2006/relationships/image" Target="media/e34fde046ec96b6137abb248ac26a17e8220ff7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Relationship Id="rIdmakjkgnge0dohfyy-pjio" Type="http://schemas.openxmlformats.org/officeDocument/2006/relationships/hyperlink" Target="https://www.lovguiden.dk/praksisoversigt/privat-og-familie/testamente"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uojqn4u7otl59hcuonxit"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_rels/header3.xml.rels><?xml version="1.0" encoding="UTF-8"?><Relationships xmlns="http://schemas.openxmlformats.org/package/2006/relationships"><Relationship Id="rIdgsyfil7osc61eygmg2euq"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Testamente</dc:title>
  <dc:creator>Lovguiden</dc:creator>
  <cp:lastModifiedBy>Un-named</cp:lastModifiedBy>
  <cp:revision>1</cp:revision>
  <dcterms:created xsi:type="dcterms:W3CDTF">2026-10-27T14:06:22.789Z</dcterms:created>
  <dcterms:modified xsi:type="dcterms:W3CDTF">2026-10-27T14:06:22.789Z</dcterms:modified>
</cp:coreProperties>
</file>

<file path=docProps/custom.xml><?xml version="1.0" encoding="utf-8"?>
<Properties xmlns="http://schemas.openxmlformats.org/officeDocument/2006/custom-properties" xmlns:vt="http://schemas.openxmlformats.org/officeDocument/2006/docPropsVTypes"/>
</file>