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GDPR &amp; COMPLIANCE-DOKUMENTER</w:t>
      </w:r>
    </w:p>
    <w:p>
      <w:pPr>
        <w:spacing w:after="120" w:before="60" w:line="300" w:lineRule="auto"/>
      </w:pPr>
      <w:r>
        <w:rPr>
          <w:rFonts w:ascii="Calibri" w:cs="Calibri" w:eastAsia="Calibri" w:hAnsi="Calibri"/>
          <w:b/>
          <w:bCs/>
          <w:color w:val="28394A"/>
          <w:sz w:val="64"/>
          <w:szCs w:val="64"/>
        </w:rPr>
        <w:t xml:space="preserve">Whistleblowerpolitik</w:t>
      </w:r>
    </w:p>
    <w:p>
      <w:pPr>
        <w:spacing w:after="200" w:line="288" w:lineRule="auto"/>
      </w:pPr>
      <w:r>
        <w:rPr>
          <w:rFonts w:ascii="Calibri" w:cs="Calibri" w:eastAsia="Calibri" w:hAnsi="Calibri"/>
          <w:color w:val="1C1917"/>
          <w:sz w:val="26"/>
          <w:szCs w:val="26"/>
          <w:shd w:fill="E8E6E1" w:color="auto" w:val="clear"/>
        </w:rPr>
        <w:t xml:space="preserve">[Virksomhedens navn]</w:t>
      </w:r>
      <w:r>
        <w:rPr>
          <w:rFonts w:ascii="Calibri" w:cs="Calibri" w:eastAsia="Calibri" w:hAnsi="Calibri"/>
          <w:color w:val="5F6B76"/>
          <w:sz w:val="26"/>
          <w:szCs w:val="26"/>
        </w:rPr>
        <w:t xml:space="preserve">, CVR-nr. </w:t>
      </w:r>
      <w:r>
        <w:rPr>
          <w:rFonts w:ascii="Calibri" w:cs="Calibri" w:eastAsia="Calibri" w:hAnsi="Calibri"/>
          <w:color w:val="1C1917"/>
          <w:sz w:val="26"/>
          <w:szCs w:val="26"/>
          <w:shd w:fill="E8E6E1" w:color="auto" w:val="clear"/>
        </w:rPr>
        <w:t xml:space="preserve">[CVR-nr.]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Arbejdsgivere med 50 eller flere ansatte skal have en intern whistleblowerordning (lov om beskyttelse af whistleblowere, lov nr. 1436 af 29. juni 2021 med senere ændringer, § 9, stk. 1). Antallet opgøres pr. juridisk enhed, men selskaber i en koncern kan have en koncernfælles ordning (§ 9, stk. 3). På visse områder - navnlig det finansielle - følger pligten af særlovgivning og gælder også under 50 ansatte.</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cbaihgbjklze79wyogl4f">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7hleorutxbz6l_cqnxrlg">
              <w:r>
                <w:rPr>
                  <w:rFonts w:ascii="Calibri" w:cs="Calibri" w:eastAsia="Calibri" w:hAnsi="Calibri"/>
                  <w:color w:val="1E4FA3"/>
                  <w:sz w:val="20"/>
                  <w:szCs w:val="20"/>
                  <w:u w:val="single"/>
                </w:rPr>
                <w:t xml:space="preserve">lovguiden.dk/praksisoversigt/gdpr-og-compliance/whistleblowerpolitik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har to dele. </w:t>
      </w:r>
      <w:r>
        <w:rPr>
          <w:rFonts w:ascii="Calibri" w:cs="Calibri" w:eastAsia="Calibri" w:hAnsi="Calibri"/>
          <w:b/>
          <w:bCs/>
          <w:color w:val="3F3A33"/>
          <w:sz w:val="19"/>
          <w:szCs w:val="19"/>
        </w:rPr>
        <w:t xml:space="preserve">Del A</w:t>
      </w:r>
      <w:r>
        <w:rPr>
          <w:rFonts w:ascii="Calibri" w:cs="Calibri" w:eastAsia="Calibri" w:hAnsi="Calibri"/>
          <w:color w:val="3F3A33"/>
          <w:sz w:val="19"/>
          <w:szCs w:val="19"/>
        </w:rPr>
        <w:t xml:space="preserve"> er den interne whistleblowerpolitik, som dokumenterer ordningen (dokumentationspligten, § 16). </w:t>
      </w:r>
      <w:r>
        <w:rPr>
          <w:rFonts w:ascii="Calibri" w:cs="Calibri" w:eastAsia="Calibri" w:hAnsi="Calibri"/>
          <w:b/>
          <w:bCs/>
          <w:color w:val="3F3A33"/>
          <w:sz w:val="19"/>
          <w:szCs w:val="19"/>
        </w:rPr>
        <w:t xml:space="preserve">Del B</w:t>
      </w:r>
      <w:r>
        <w:rPr>
          <w:rFonts w:ascii="Calibri" w:cs="Calibri" w:eastAsia="Calibri" w:hAnsi="Calibri"/>
          <w:color w:val="3F3A33"/>
          <w:sz w:val="19"/>
          <w:szCs w:val="19"/>
        </w:rPr>
        <w:t xml:space="preserve"> er informationen til medarbejderne, som skal ligge på et synligt og tilgængeligt sted, fx hjemmesiden eller intranettet (informationspligten, § 13). Bagest er bilag til kvittering, feedback og indberetningslog.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Manglende dokumentation kan straffes med bøde (§ 30, stk. 2), og det samme gælder bl.a. brud på den særlige tavshedspligt (§ 30, stk. 1). Fristerne på </w:t>
      </w:r>
      <w:r>
        <w:rPr>
          <w:rFonts w:ascii="Calibri" w:cs="Calibri" w:eastAsia="Calibri" w:hAnsi="Calibri"/>
          <w:b/>
          <w:bCs/>
          <w:color w:val="3F3A33"/>
          <w:sz w:val="19"/>
          <w:szCs w:val="19"/>
        </w:rPr>
        <w:t xml:space="preserve">7 dage</w:t>
      </w:r>
      <w:r>
        <w:rPr>
          <w:rFonts w:ascii="Calibri" w:cs="Calibri" w:eastAsia="Calibri" w:hAnsi="Calibri"/>
          <w:color w:val="3F3A33"/>
          <w:sz w:val="19"/>
          <w:szCs w:val="19"/>
        </w:rPr>
        <w:t xml:space="preserve"> for kvittering og </w:t>
      </w:r>
      <w:r>
        <w:rPr>
          <w:rFonts w:ascii="Calibri" w:cs="Calibri" w:eastAsia="Calibri" w:hAnsi="Calibri"/>
          <w:b/>
          <w:bCs/>
          <w:color w:val="3F3A33"/>
          <w:sz w:val="19"/>
          <w:szCs w:val="19"/>
        </w:rPr>
        <w:t xml:space="preserve">3 måneder</w:t>
      </w:r>
      <w:r>
        <w:rPr>
          <w:rFonts w:ascii="Calibri" w:cs="Calibri" w:eastAsia="Calibri" w:hAnsi="Calibri"/>
          <w:color w:val="3F3A33"/>
          <w:sz w:val="19"/>
          <w:szCs w:val="19"/>
        </w:rPr>
        <w:t xml:space="preserve"> for feedback (§ 12, stk. 2) er ufravigelige og skal kunne overholdes også i ferier - udpeg en stedfortræder.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Whistleblowerloven giver hjemmel til at behandle personoplysninger, herunder følsomme oplysninger og oplysninger om strafbare forhold (§ 22), men </w:t>
      </w:r>
      <w:r>
        <w:rPr>
          <w:rFonts w:ascii="Calibri" w:cs="Calibri" w:eastAsia="Calibri" w:hAnsi="Calibri"/>
          <w:b/>
          <w:bCs/>
          <w:color w:val="3F3A33"/>
          <w:sz w:val="19"/>
          <w:szCs w:val="19"/>
        </w:rPr>
        <w:t xml:space="preserve">kun</w:t>
      </w:r>
      <w:r>
        <w:rPr>
          <w:rFonts w:ascii="Calibri" w:cs="Calibri" w:eastAsia="Calibri" w:hAnsi="Calibri"/>
          <w:color w:val="3F3A33"/>
          <w:sz w:val="19"/>
          <w:szCs w:val="19"/>
        </w:rPr>
        <w:t xml:space="preserve"> i ordninger, der er lovpligtige. En frivillig ordning hos en mindre virksomhed må finde sit behandlingsgrundlag i databeskyttelsesreglerne og kan ikke behandle følsomme oplysninger efter artikel 9.</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Outsources modtagelsen til en ekstern leverandør (portaludbyder, advokat, revisor), er virksomheden fortsat ansvarlig for, at kravene overholdes. Leverandøren skal skriftligt garantere uafhængighed, fortrolighed og tavshedspligt, og rollen efter databeskyttelsesreglerne skal afklares (databehandleraftale eller selvstændigt dataansvar).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HR eller direktionen er whistleblowerenhed uden procedure for indberetninger, der vedrører dem selv; løfter om absolut anonymitet, som ordningen teknisk ikke kan holde; indberetninger opbevares på et fællesdrev; ordningen bruges som almindelig HR-postkasse; ingen stedfortræder til at holde fristerne.</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nr. 1436 af 29. juni 2021 om beskyttelse af whistleblowere, som ændret ved lov nr. 666 af 11. juni 2024 (kun § 17 om PET), særligt §§ 1, 3-4, 6, 8-14, 16, 22-26 og 28-30. Paragrafhenvisningerne er afstemt med lovteksten (lovguiden.dk/loven/lov-om-beskyttelse-af-whistleblowere).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Justitsministeriet, VEJ nr. 9250 af 16. december 2021, "Vejledning for whistleblowerordninger på private arbejdspladser", særligt pkt. 3.5 (ressourcedeling), 3.7 (koncernfælles ordninger), 4, 6.1-6.7 og bilag 1 (eksterne ordninger).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Europa-Parlamentets og Rådets direktiv (EU) 2019/1937 (whistleblowerdirektivet), artikel 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artikel 13-15 og 32 samt databeskyttelseslovens § 22.</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Datatilsynet, "Hvem er dataansvarlig ved outsourcing af en intern whistleblowerordning" (13.10.2021), og den eksterne whistleblowerordning på whistleblower.dk.</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sm1x3dehxfu6di67dmoyc">
        <w:r>
          <w:rPr>
            <w:rFonts w:ascii="Calibri" w:cs="Calibri" w:eastAsia="Calibri" w:hAnsi="Calibri"/>
            <w:color w:val="1E4FA3"/>
            <w:sz w:val="20"/>
            <w:szCs w:val="20"/>
            <w:u w:val="single"/>
          </w:rPr>
          <w:t xml:space="preserve">lovguiden.dk/praksisoversigt/gdpr-og-compliance/whistleblowerpolitik</w:t>
        </w:r>
      </w:hyperlink>
    </w:p>
    <w:p>
      <w:pPr>
        <w:spacing w:after="80"/>
      </w:pPr>
      <w:r>
        <w:rPr>
          <w:rFonts w:ascii="Calibri" w:cs="Calibri" w:eastAsia="Calibri" w:hAnsi="Calibri"/>
          <w:b/>
          <w:bCs/>
          <w:color w:val="28394A"/>
          <w:sz w:val="44"/>
          <w:szCs w:val="44"/>
        </w:rPr>
        <w:t xml:space="preserve">Whistleblowerpolitik</w:t>
      </w:r>
    </w:p>
    <w:p>
      <w:pPr>
        <w:spacing w:after="120" w:line="288" w:lineRule="auto"/>
      </w:pP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5F6B76"/>
          <w:sz w:val="22"/>
          <w:szCs w:val="22"/>
        </w:rPr>
        <w:t xml:space="preserve">, CVR-nr. </w:t>
      </w:r>
      <w:r>
        <w:rPr>
          <w:rFonts w:ascii="Calibri" w:cs="Calibri" w:eastAsia="Calibri" w:hAnsi="Calibri"/>
          <w:color w:val="1C1917"/>
          <w:sz w:val="22"/>
          <w:szCs w:val="22"/>
          <w:shd w:fill="E8E6E1" w:color="auto" w:val="clear"/>
        </w:rPr>
        <w:t xml:space="preserve">[CVR-nr.]</w:t>
      </w:r>
    </w:p>
    <w:p>
      <w:pPr>
        <w:pBdr>
          <w:bottom w:val="single" w:color="9A7032" w:sz="12"/>
        </w:pBdr>
        <w:spacing w:after="360"/>
        <w:ind w:right="7600"/>
      </w:pPr>
    </w:p>
    <w:p>
      <w:pPr>
        <w:keepNext/>
        <w:spacing w:after="80" w:before="220"/>
      </w:pPr>
      <w:r>
        <w:rPr>
          <w:rFonts w:ascii="Calibri" w:cs="Calibri" w:eastAsia="Calibri" w:hAnsi="Calibri"/>
          <w:b/>
          <w:bCs/>
          <w:color w:val="28394A"/>
          <w:sz w:val="22"/>
          <w:szCs w:val="22"/>
        </w:rPr>
        <w:t xml:space="preserve">Del A - Whistleblowerpolitik</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Formål</w:t>
      </w:r>
    </w:p>
    <w:p>
      <w:pPr>
        <w:spacing w:after="120" w:line="288" w:lineRule="auto"/>
      </w:pPr>
      <w:r>
        <w:rPr>
          <w:rFonts w:ascii="Calibri" w:cs="Calibri" w:eastAsia="Calibri" w:hAnsi="Calibri"/>
          <w:color w:val="1C1917"/>
          <w:sz w:val="22"/>
          <w:szCs w:val="22"/>
        </w:rPr>
        <w:t xml:space="preserve">Formålet med whistleblowerordningen er, at alvorlige forhold og overtrædelser i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kan blive indberettet, undersøgt og stoppet - uden at den, der indberetter, risikerer repressalier. Ordningen er oprettet efter lov om beskyttelse af whistleblowere (whistleblowerloven).</w:t>
      </w:r>
    </w:p>
    <w:p>
      <w:pPr>
        <w:spacing w:after="120" w:line="288" w:lineRule="auto"/>
      </w:pPr>
      <w:r>
        <w:rPr>
          <w:rFonts w:ascii="Calibri" w:cs="Calibri" w:eastAsia="Calibri" w:hAnsi="Calibri"/>
          <w:color w:val="1C1917"/>
          <w:sz w:val="22"/>
          <w:szCs w:val="22"/>
        </w:rPr>
        <w:t xml:space="preserve">Politikken gælder for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CVR-nr. </w:t>
      </w:r>
      <w:r>
        <w:rPr>
          <w:rFonts w:ascii="Calibri" w:cs="Calibri" w:eastAsia="Calibri" w:hAnsi="Calibri"/>
          <w:color w:val="1C1917"/>
          <w:sz w:val="22"/>
          <w:szCs w:val="22"/>
          <w:shd w:fill="E8E6E1" w:color="auto" w:val="clear"/>
        </w:rPr>
        <w:t xml:space="preserve">[CVR-nr.]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 og for følgende selskaber i koncernfælles ordning: (navn og CVR-nr.)]</w:t>
      </w:r>
      <w:r>
        <w:rPr>
          <w:rFonts w:ascii="Calibri" w:cs="Calibri" w:eastAsia="Calibri" w:hAnsi="Calibri"/>
          <w:color w:val="1C1917"/>
          <w:sz w:val="22"/>
          <w:szCs w:val="22"/>
        </w:rPr>
        <w:t xml:space="preserve">. Den beskriver, hvordan ordningen er organiseret, og hvordan indberetninger behandles.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Koncerner må have én fælles ordning for alle selskaber (§ 9, stk. 3, og § 11, stk. 2). Justitsministeren kan afskaffe den mulighed, hvis whistleblowerdirektivet viser sig ikke at tillade den, men har efter vejledningens pkt. 3.7 ikke fundet grund til det. Følg med i, om det ændrer sig.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Dokumentationspligten (§ 16) gælder for hvert selskab med pligt til en ordning. Ved en koncernfælles ordning: nævn alle omfattede selskaber med CVR-nr. her, eller lav et kort tillæg pr. selskab.</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Hvem kan indberette?</w:t>
      </w:r>
    </w:p>
    <w:p>
      <w:pPr>
        <w:spacing w:after="120" w:line="288" w:lineRule="auto"/>
      </w:pPr>
      <w:r>
        <w:rPr>
          <w:rFonts w:ascii="Calibri" w:cs="Calibri" w:eastAsia="Calibri" w:hAnsi="Calibri"/>
          <w:color w:val="1C1917"/>
          <w:sz w:val="22"/>
          <w:szCs w:val="22"/>
        </w:rPr>
        <w:t xml:space="preserve">Ordningen kan bruges af:</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Ansatte, herunder fuldtids- og deltidsansatte, tidsbegrænset ansatte og vikarer (skal altid være omfattet).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Tidligere ansatte og jobansøgere, om forhold de har fået kendskab til i ansættelsen eller ansættelsesprocessen.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Bestyrelsesmedlemmer, direktionsmedlemmer og aktionærer/anpartshavere.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Frivillige og lønnede eller ulønnede praktikanter.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Selvstændige samarbejdspartnere samt ansatte hos leverandører og underleverandører.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[Andre, fx kunder - de er ikke beskyttet af whistleblowerloven]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Ordningen skal som minimum være åben for arbejdstagerne. De øvrige grupper er beskyttet af loven og kan altid bruge de eksterne ordninger, men det er frivilligt, om de får adgang til den interne (jf. § 3, nr. 7, og vejledningens pkt. 4). Det er ofte en fordel at åbne for dem, så sagerne kommer frem internt. Personer uden for lovens personkreds kan få adgang, men får ikke lovens beskyttelse.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Hvad kan indberettes?</w:t>
      </w:r>
    </w:p>
    <w:p>
      <w:pPr>
        <w:spacing w:after="120" w:line="288" w:lineRule="auto"/>
      </w:pPr>
      <w:r>
        <w:rPr>
          <w:rFonts w:ascii="Calibri" w:cs="Calibri" w:eastAsia="Calibri" w:hAnsi="Calibri"/>
          <w:color w:val="1C1917"/>
          <w:sz w:val="22"/>
          <w:szCs w:val="22"/>
        </w:rPr>
        <w:t xml:space="preserve">Der kan indberettes oplysninger, herunder rimelig mistanke, om faktiske eller potentielle overtrædelser, som er sket eller med stor sandsynlighed vil ske i virksomheden, samt forsøg på at skjule sådanne overtrædelser, når det drejer sig om:</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Overtrædelser af EU-retten inden for whistleblowerdirektivets område, fx offentligt udbud, finansielle tjenesteydelser og hvidvask, produktsikkerhed, transportsikkerhed, miljø, fødevaresikkerhed, folkesundhed, forbrugerbeskyttelse, beskyttelse af personoplysninger og it-sikkerhed, EU's finansielle interesser samt konkurrence- og statsstøtteregler.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Alvorlige lovovertrædelser og andre alvorlige forhold, fx bestikkelse, bedrageri, underslæb, dokumentfalsk, grov eller gentagen chikane, seksuel chikane, alvorlige brud på arbejdsmiljøet og alvorlige miljøforhold.</w:t>
      </w:r>
    </w:p>
    <w:p>
      <w:pPr>
        <w:spacing w:after="120" w:line="288" w:lineRule="auto"/>
      </w:pPr>
      <w:r>
        <w:rPr>
          <w:rFonts w:ascii="Calibri" w:cs="Calibri" w:eastAsia="Calibri" w:hAnsi="Calibri"/>
          <w:color w:val="1C1917"/>
          <w:sz w:val="22"/>
          <w:szCs w:val="22"/>
        </w:rPr>
        <w:t xml:space="preserve">Ordningen er ikke beregnet til:</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Egne ansættelsesforhold, fx uenighed om løn, ferie eller samarbejdsvanskeligheder - de håndteres af </w:t>
      </w:r>
      <w:r>
        <w:rPr>
          <w:rFonts w:ascii="Calibri" w:cs="Calibri" w:eastAsia="Calibri" w:hAnsi="Calibri"/>
          <w:color w:val="1C1917"/>
          <w:sz w:val="22"/>
          <w:szCs w:val="22"/>
          <w:shd w:fill="E8E6E1" w:color="auto" w:val="clear"/>
        </w:rPr>
        <w:t xml:space="preserve">[Nærmeste leder / HR / tillidsrepræsentanten]</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Overtrædelser af mindre betydning, fx af interne retningslinjer om rygning, brug af firmabil eller sygemelding, medmindre forholdet er alvorligt.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Visse fortrolige oplysninger, fx klassificerede oplysninger og oplysninger, der er omfattet af advokaters eller sundhedspersoners tavshedspligt (§ 1, stk. 3).</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Eksemplerne er vejledende - afgrænsningen beror på en konkret vurdering (§ 1). Skriv eksempler, der passer til jeres branche. Indberetninger uden for området kan afvises uden at blive sendt videre (§ 12, stk. 3). Giv whistlebloweren besked og vejledning om, hvor sagen i stedet kan rejses.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Sådan indberetter man</w:t>
      </w:r>
    </w:p>
    <w:p>
      <w:pPr>
        <w:spacing w:after="120" w:line="288" w:lineRule="auto"/>
      </w:pPr>
      <w:r>
        <w:rPr>
          <w:rFonts w:ascii="Calibri" w:cs="Calibri" w:eastAsia="Calibri" w:hAnsi="Calibri"/>
          <w:color w:val="1C1917"/>
          <w:sz w:val="22"/>
          <w:szCs w:val="22"/>
        </w:rPr>
        <w:t xml:space="preserve">Der kan indberettes: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Skriftligt via </w:t>
      </w:r>
      <w:r>
        <w:rPr>
          <w:rFonts w:ascii="Calibri" w:cs="Calibri" w:eastAsia="Calibri" w:hAnsi="Calibri"/>
          <w:color w:val="1C1917"/>
          <w:sz w:val="22"/>
          <w:szCs w:val="22"/>
          <w:shd w:fill="E8E6E1" w:color="auto" w:val="clear"/>
        </w:rPr>
        <w:t xml:space="preserve">[Whistleblowerportal: (URL)]</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Skriftligt pr. e-mail til </w:t>
      </w:r>
      <w:r>
        <w:rPr>
          <w:rFonts w:ascii="Calibri" w:cs="Calibri" w:eastAsia="Calibri" w:hAnsi="Calibri"/>
          <w:color w:val="1C1917"/>
          <w:sz w:val="22"/>
          <w:szCs w:val="22"/>
          <w:shd w:fill="E8E6E1" w:color="auto" w:val="clear"/>
        </w:rPr>
        <w:t xml:space="preserve">[Sikker e-mailadresse, som kun whistleblowerenheden har adgang til]</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Skriftligt pr. brev til </w:t>
      </w:r>
      <w:r>
        <w:rPr>
          <w:rFonts w:ascii="Calibri" w:cs="Calibri" w:eastAsia="Calibri" w:hAnsi="Calibri"/>
          <w:color w:val="1C1917"/>
          <w:sz w:val="22"/>
          <w:szCs w:val="22"/>
          <w:shd w:fill="E8E6E1" w:color="auto" w:val="clear"/>
        </w:rPr>
        <w:t xml:space="preserve">[Adresse]</w:t>
      </w:r>
      <w:r>
        <w:rPr>
          <w:rFonts w:ascii="Calibri" w:cs="Calibri" w:eastAsia="Calibri" w:hAnsi="Calibri"/>
          <w:color w:val="1C1917"/>
          <w:sz w:val="22"/>
          <w:szCs w:val="22"/>
        </w:rPr>
        <w:t xml:space="preserve">, mærket "Fortroligt - whistleblowerenheden".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Mundtligt pr. telefon til </w:t>
      </w:r>
      <w:r>
        <w:rPr>
          <w:rFonts w:ascii="Calibri" w:cs="Calibri" w:eastAsia="Calibri" w:hAnsi="Calibri"/>
          <w:color w:val="1C1917"/>
          <w:sz w:val="22"/>
          <w:szCs w:val="22"/>
          <w:shd w:fill="E8E6E1" w:color="auto" w:val="clear"/>
        </w:rPr>
        <w:t xml:space="preserve">[Telefonnummer]</w:t>
      </w:r>
      <w:r>
        <w:rPr>
          <w:rFonts w:ascii="Calibri" w:cs="Calibri" w:eastAsia="Calibri" w:hAnsi="Calibri"/>
          <w:color w:val="1C1917"/>
          <w:sz w:val="22"/>
          <w:szCs w:val="22"/>
        </w:rPr>
        <w:t xml:space="preserve"> på </w:t>
      </w:r>
      <w:r>
        <w:rPr>
          <w:rFonts w:ascii="Calibri" w:cs="Calibri" w:eastAsia="Calibri" w:hAnsi="Calibri"/>
          <w:color w:val="1C1917"/>
          <w:sz w:val="22"/>
          <w:szCs w:val="22"/>
          <w:shd w:fill="E8E6E1" w:color="auto" w:val="clear"/>
        </w:rPr>
        <w:t xml:space="preserve">[Tidspunkter]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Ved et fysisk møde med whistleblowerenheden, hvis whistlebloweren beder om det. Mødet tilbydes som udgangspunkt inden for 7 dage.</w:t>
      </w:r>
    </w:p>
    <w:p>
      <w:pPr>
        <w:spacing w:after="120" w:line="288" w:lineRule="auto"/>
      </w:pPr>
      <w:r>
        <w:rPr>
          <w:rFonts w:ascii="Calibri" w:cs="Calibri" w:eastAsia="Calibri" w:hAnsi="Calibri"/>
          <w:color w:val="1C1917"/>
          <w:sz w:val="22"/>
          <w:szCs w:val="22"/>
        </w:rPr>
        <w:t xml:space="preserve">Anonym indberetning: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Det er muligt at indberette anonymt via </w:t>
      </w:r>
      <w:r>
        <w:rPr>
          <w:rFonts w:ascii="Calibri" w:cs="Calibri" w:eastAsia="Calibri" w:hAnsi="Calibri"/>
          <w:color w:val="1C1917"/>
          <w:sz w:val="22"/>
          <w:szCs w:val="22"/>
          <w:shd w:fill="E8E6E1" w:color="auto" w:val="clear"/>
        </w:rPr>
        <w:t xml:space="preserve">[Portal]</w:t>
      </w:r>
      <w:r>
        <w:rPr>
          <w:rFonts w:ascii="Calibri" w:cs="Calibri" w:eastAsia="Calibri" w:hAnsi="Calibri"/>
          <w:color w:val="1C1917"/>
          <w:sz w:val="22"/>
          <w:szCs w:val="22"/>
        </w:rPr>
        <w:t xml:space="preserve">. Portalen logger ikke IP-adresser, og whistlebloweren kan kommunikere anonymt med enheden via </w:t>
      </w:r>
      <w:r>
        <w:rPr>
          <w:rFonts w:ascii="Calibri" w:cs="Calibri" w:eastAsia="Calibri" w:hAnsi="Calibri"/>
          <w:color w:val="1C1917"/>
          <w:sz w:val="22"/>
          <w:szCs w:val="22"/>
          <w:shd w:fill="E8E6E1" w:color="auto" w:val="clear"/>
        </w:rPr>
        <w:t xml:space="preserve">[Fx en kode til sagen]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Det er ikke muligt at indberette anonymt. Whistleblowerens identitet behandles fortroligt som beskrevet i afsnit 7.</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Det er frivilligt, om ordningen tilbyder skriftlig eller mundtlig indberetning eller begge dele, og om anonyme indberetninger modtages. Tilbyder I mundtlig indberetning, har whistlebloweren ret til et fysisk møde. Indberetninger må ikke opbevares på et fællesdrev eller i en almindelig fælles postkasse. Lov kun anonymitet, hvis den tekniske løsning faktisk understøtter 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Whistleblowerenheden</w:t>
      </w:r>
    </w:p>
    <w:p>
      <w:pPr>
        <w:spacing w:after="120" w:line="288" w:lineRule="auto"/>
      </w:pPr>
      <w:r>
        <w:rPr>
          <w:rFonts w:ascii="Calibri" w:cs="Calibri" w:eastAsia="Calibri" w:hAnsi="Calibri"/>
          <w:color w:val="1C1917"/>
          <w:sz w:val="22"/>
          <w:szCs w:val="22"/>
        </w:rPr>
        <w:t xml:space="preserve">Indberetninger modtages og behandles af whistleblowerenheden, som består af:</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519"/>
        <w:gridCol w:w="3527"/>
        <w:gridCol w:w="3023"/>
      </w:tblGrid>
      <w:tr>
        <w:trPr>
          <w:tblHeader/>
        </w:trPr>
        <w:tc>
          <w:tcPr>
            <w:tcW w:type="dxa" w:w="251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Rolle</w:t>
            </w:r>
          </w:p>
        </w:tc>
        <w:tc>
          <w:tcPr>
            <w:tcW w:type="dxa" w:w="352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Navn / funktion</w:t>
            </w:r>
          </w:p>
        </w:tc>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Kontakt</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Ansvarlig</w:t>
            </w:r>
          </w:p>
        </w:tc>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stilling]</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[E-mail / telefon]</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Stedfortræder</w:t>
            </w:r>
          </w:p>
        </w:tc>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stilling]</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[E-mail / telefon]</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Ekstern modtager (hvis outsourcet)</w:t>
            </w:r>
          </w:p>
        </w:tc>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[Leverandør]</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[Kontakt]</w:t>
            </w:r>
          </w:p>
        </w:tc>
      </w:tr>
    </w:tbl>
    <w:p>
      <w:pPr>
        <w:spacing w:after="160"/>
      </w:pP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Enheden er intern.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Modtagelse </w:t>
      </w:r>
      <w:r>
        <w:rPr>
          <w:rFonts w:ascii="Calibri" w:cs="Calibri" w:eastAsia="Calibri" w:hAnsi="Calibri"/>
          <w:color w:val="1C1917"/>
          <w:sz w:val="22"/>
          <w:szCs w:val="22"/>
          <w:shd w:fill="E8E6E1" w:color="auto" w:val="clear"/>
        </w:rPr>
        <w:t xml:space="preserve">[og undersøgelse]</w:t>
      </w:r>
      <w:r>
        <w:rPr>
          <w:rFonts w:ascii="Calibri" w:cs="Calibri" w:eastAsia="Calibri" w:hAnsi="Calibri"/>
          <w:color w:val="1C1917"/>
          <w:sz w:val="22"/>
          <w:szCs w:val="22"/>
        </w:rPr>
        <w:t xml:space="preserve"> er outsourcet til </w:t>
      </w:r>
      <w:r>
        <w:rPr>
          <w:rFonts w:ascii="Calibri" w:cs="Calibri" w:eastAsia="Calibri" w:hAnsi="Calibri"/>
          <w:color w:val="1C1917"/>
          <w:sz w:val="22"/>
          <w:szCs w:val="22"/>
          <w:shd w:fill="E8E6E1" w:color="auto" w:val="clear"/>
        </w:rPr>
        <w:t xml:space="preserve">[Leverandør]</w:t>
      </w:r>
      <w:r>
        <w:rPr>
          <w:rFonts w:ascii="Calibri" w:cs="Calibri" w:eastAsia="Calibri" w:hAnsi="Calibri"/>
          <w:color w:val="1C1917"/>
          <w:sz w:val="22"/>
          <w:szCs w:val="22"/>
        </w:rPr>
        <w:t xml:space="preserve">, som har givet skriftlig garanti for uafhængighed, fortrolighed, databehandling og tavshedspligt. Leverandøren er </w:t>
      </w:r>
      <w:r>
        <w:rPr>
          <w:rFonts w:ascii="Calibri" w:cs="Calibri" w:eastAsia="Calibri" w:hAnsi="Calibri"/>
          <w:color w:val="1C1917"/>
          <w:sz w:val="22"/>
          <w:szCs w:val="22"/>
          <w:shd w:fill="E8E6E1" w:color="auto" w:val="clear"/>
        </w:rPr>
        <w:t xml:space="preserve">[databehandler efter databehandleraftale af (dato) / selvstændigt dataansvarlig]</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Modtagelse og undersøgelse sker i en fælles enhed med </w:t>
      </w:r>
      <w:r>
        <w:rPr>
          <w:rFonts w:ascii="Calibri" w:cs="Calibri" w:eastAsia="Calibri" w:hAnsi="Calibri"/>
          <w:color w:val="1C1917"/>
          <w:sz w:val="22"/>
          <w:szCs w:val="22"/>
          <w:shd w:fill="E8E6E1" w:color="auto" w:val="clear"/>
        </w:rPr>
        <w:t xml:space="preserve">[Andre virksomheder]</w:t>
      </w:r>
      <w:r>
        <w:rPr>
          <w:rFonts w:ascii="Calibri" w:cs="Calibri" w:eastAsia="Calibri" w:hAnsi="Calibri"/>
          <w:color w:val="1C1917"/>
          <w:sz w:val="22"/>
          <w:szCs w:val="22"/>
        </w:rPr>
        <w:t xml:space="preserve"> (ressourcedeling, § 14). Kvittering, feedback og opfølgning varetages af virksomhedens egen enhed.</w:t>
      </w:r>
    </w:p>
    <w:p>
      <w:pPr>
        <w:spacing w:after="120" w:line="288" w:lineRule="auto"/>
      </w:pPr>
      <w:r>
        <w:rPr>
          <w:rFonts w:ascii="Calibri" w:cs="Calibri" w:eastAsia="Calibri" w:hAnsi="Calibri"/>
          <w:color w:val="1C1917"/>
          <w:sz w:val="22"/>
          <w:szCs w:val="22"/>
        </w:rPr>
        <w:t xml:space="preserve">Enheden er upartisk og er i den konkrete sagsbehandling uafhængig af direktionen. Ledelsen kan ikke instruere enheden i, hvordan en indberetning skal håndteres.</w:t>
      </w:r>
    </w:p>
    <w:p>
      <w:pPr>
        <w:spacing w:after="120" w:line="288" w:lineRule="auto"/>
      </w:pPr>
      <w:r>
        <w:rPr>
          <w:rFonts w:ascii="Calibri" w:cs="Calibri" w:eastAsia="Calibri" w:hAnsi="Calibri"/>
          <w:color w:val="1C1917"/>
          <w:sz w:val="22"/>
          <w:szCs w:val="22"/>
        </w:rPr>
        <w:t xml:space="preserve">Vedrører en indberetning et medlem af whistleblowerenheden eller direktionen, behandles den af </w:t>
      </w:r>
      <w:r>
        <w:rPr>
          <w:rFonts w:ascii="Calibri" w:cs="Calibri" w:eastAsia="Calibri" w:hAnsi="Calibri"/>
          <w:color w:val="1C1917"/>
          <w:sz w:val="22"/>
          <w:szCs w:val="22"/>
          <w:shd w:fill="E8E6E1" w:color="auto" w:val="clear"/>
        </w:rPr>
        <w:t xml:space="preserve">[Fx bestyrelsesformanden / ekstern advokat (navn)]</w:t>
      </w:r>
      <w:r>
        <w:rPr>
          <w:rFonts w:ascii="Calibri" w:cs="Calibri" w:eastAsia="Calibri" w:hAnsi="Calibri"/>
          <w:color w:val="1C1917"/>
          <w:sz w:val="22"/>
          <w:szCs w:val="22"/>
        </w:rPr>
        <w:t xml:space="preserve">, og den pågældende holdes uden for sagen.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Enheden skal være upartisk og uafhængig af direktionen i den enkelte sag (§ 11). I mindre virksomheder kan det være en enkelt person, fx en compliance- eller HR-medarbejder, juridisk medarbejder, økonomichef eller et bestyrelsesmedlem. Ressourcedeling er kun mulig for arbejdspladser med 50-249 ansatte og omfatter ikke feedback og opfølgning. Ved outsourcing bør der fortsat være en intern kontaktperson.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Sagsbehandling og frister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14"/>
        <w:gridCol w:w="5240"/>
        <w:gridCol w:w="2016"/>
      </w:tblGrid>
      <w:tr>
        <w:trPr>
          <w:tblHeader/>
        </w:trPr>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Trin</w:t>
            </w:r>
          </w:p>
        </w:tc>
        <w:tc>
          <w:tcPr>
            <w:tcW w:type="dxa" w:w="524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Hvad sker der</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Frist</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 Modtagelse</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Indberetningen registreres i indberetningsloggen (bilag 3). Mundtlige indberetninger dokumenteres, jf. afsnit 8.</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Samme dag</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 Kvittering</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Whistlebloweren får bekræftelse på modtagelsen (bilag 1), hvis det er muligt.</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Senest 7 dage efter modtagelsen</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 Vurdering</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Enheden vurderer, om indberetningen er omfattet. Er den ikke omfattet, får whistlebloweren besked og vejledning om, hvor sagen kan rejses.</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Hurtigst muligt</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 Undersøgelse</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Enheden undersøger forholdet </w:t>
            </w:r>
            <w:r>
              <w:rPr>
                <w:rFonts w:ascii="Calibri" w:cs="Calibri" w:eastAsia="Calibri" w:hAnsi="Calibri"/>
                <w:color w:val="1C1917"/>
                <w:sz w:val="19"/>
                <w:szCs w:val="19"/>
                <w:shd w:fill="E8E6E1" w:color="auto" w:val="clear"/>
              </w:rPr>
              <w:t xml:space="preserve">[selv / ved at indhente en redegørelse fra relevant afdeling]</w:t>
            </w:r>
            <w:r>
              <w:rPr>
                <w:rFonts w:ascii="Calibri" w:cs="Calibri" w:eastAsia="Calibri" w:hAnsi="Calibri"/>
                <w:b w:val="false"/>
                <w:bCs w:val="false"/>
                <w:color w:val="1C1917"/>
                <w:sz w:val="19"/>
                <w:szCs w:val="19"/>
              </w:rPr>
              <w:t xml:space="preserve">, med respekt for tavshedspligten.</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Løbende</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5. Reaktion</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[Enheden afgiver en redegørelse til (ledelse/bestyrelse), som beslutter reaktioner / Enheden kan selv indstille eller beslutte reaktioner]</w:t>
            </w:r>
            <w:r>
              <w:rPr>
                <w:rFonts w:ascii="Calibri" w:cs="Calibri" w:eastAsia="Calibri" w:hAnsi="Calibri"/>
                <w:b w:val="false"/>
                <w:bCs w:val="false"/>
                <w:color w:val="1C1917"/>
                <w:sz w:val="19"/>
                <w:szCs w:val="19"/>
              </w:rPr>
              <w:t xml:space="preserve">, fx intern opfølgning, ansættelsesretlige skridt eller politianmeldelse.</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Løbende</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6. Feedback</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Whistlebloweren får besked om, hvilken opfølgning der er sket eller planlægges, og hvorfor (bilag 2). Kan fristen ikke holdes, får whistlebloweren besked om det og om, hvornår der kan forventes yderligere feedback.</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Hurtigst muligt og senest 3 måneder efter kvitteringen</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7. Afslutning</w:t>
            </w:r>
          </w:p>
        </w:tc>
        <w:tc>
          <w:tcPr>
            <w:tcW w:type="dxa" w:w="52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Sagen afsluttes, og oplysningerne slettes efter afsnit 8.</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Kvitteringsfristen løber fra dagen efter modtagelsen, og weekender og helligdage tæller med. En indberetning modtaget fredag aften skal altså kvitteres senest fredagen efter. Feedback skal overholde databeskyttelsesreglerne - der kan ikke altid oplyses detaljer om konsekvenser for en navngiven person.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Fortrolighed og tavshedspligt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Kun autoriserede medarbejdere i whistleblowerenheden har adgang til indberetningerne. </w:t>
      </w:r>
      <w:r>
        <w:rPr>
          <w:rFonts w:ascii="Calibri" w:cs="Calibri" w:eastAsia="Calibri" w:hAnsi="Calibri"/>
          <w:color w:val="1C1917"/>
          <w:sz w:val="22"/>
          <w:szCs w:val="22"/>
          <w:shd w:fill="E8E6E1" w:color="auto" w:val="clear"/>
        </w:rPr>
        <w:t xml:space="preserve">[Udvalgte it-medarbejdere kan have teknisk adgang som led i almindelig drift.]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Medarbejdere i enheden har særlig tavshedspligt om oplysningerne i indberetningerne (§ 25). Det gælder også andre, der lovligt får oplysningerne videregivet.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Oplysninger om whistleblowerens identitet - og andet, der kan afsløre den - videregives kun med whistleblowerens udtrykkelige samtykke, eller til en offentlig myndighed, hvor det er nødvendigt for at imødegå overtrædelser eller sikre de berørte personers ret til et forsvar (§ 26). Whistlebloweren får som udgangspunkt besked, før det sker.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Andre oplysninger fra indberetningen videregives kun, når det er nødvendigt for at følge op på indberetningen eller imødegå overtrædelsen.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Identiteten på den berørte person og på tredjemænd, der nævnes i indberetningen, beskyttes også.</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Lov ikke "fuld fortrolighed i alle tilfælde". Loven tillader videregivelse til myndigheder, og selv en stillingsbetegnelse kan gøre en whistleblower genkendelig i en mindre virksomhed. Overtrædelse af tavshedspligten kan straffes med bøde.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Personoplysninger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Behandlingsgrundlag:</w:t>
      </w:r>
      <w:r>
        <w:rPr>
          <w:rFonts w:ascii="Calibri" w:cs="Calibri" w:eastAsia="Calibri" w:hAnsi="Calibri"/>
          <w:color w:val="1C1917"/>
          <w:sz w:val="22"/>
          <w:szCs w:val="22"/>
        </w:rPr>
        <w:t xml:space="preserve"> Virksomheden behandler personoplysninger, herunder eventuelle følsomme oplysninger og oplysninger om strafbare forhold, når det er nødvendigt for at behandle en indberetning (whistleblowerlovens § 22).</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Whistlebloweren</w:t>
      </w:r>
      <w:r>
        <w:rPr>
          <w:rFonts w:ascii="Calibri" w:cs="Calibri" w:eastAsia="Calibri" w:hAnsi="Calibri"/>
          <w:color w:val="1C1917"/>
          <w:sz w:val="22"/>
          <w:szCs w:val="22"/>
        </w:rPr>
        <w:t xml:space="preserve"> får oplysning om behandlingen af sine personoplysninger efter databeskyttelsesforordningens artikel 13 - normalt inden for 10 dage efter indberetningen. </w:t>
      </w:r>
      <w:r>
        <w:rPr>
          <w:rFonts w:ascii="Calibri" w:cs="Calibri" w:eastAsia="Calibri" w:hAnsi="Calibri"/>
          <w:color w:val="1C1917"/>
          <w:sz w:val="22"/>
          <w:szCs w:val="22"/>
          <w:shd w:fill="E8E6E1" w:color="auto" w:val="clear"/>
        </w:rPr>
        <w:t xml:space="preserve">[Teksten er indarbejdet i kvitteringen / ligger på (link).]</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Den berørte person og andre nævnte personer:</w:t>
      </w:r>
      <w:r>
        <w:rPr>
          <w:rFonts w:ascii="Calibri" w:cs="Calibri" w:eastAsia="Calibri" w:hAnsi="Calibri"/>
          <w:color w:val="1C1917"/>
          <w:sz w:val="22"/>
          <w:szCs w:val="22"/>
        </w:rPr>
        <w:t xml:space="preserve"> Virksomheden underretter ikke den berørte person efter artikel 14, når den særlige tavshedspligt er til hinder for det (artikel 14, stk. 5, litra d, jf. whistleblowerlovens § 25). Indsigtsretten kan efter en konkret vurdering begrænses efter databeskyttelseslovens § 22.</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Registrering og mundtlige indberetninger:</w:t>
      </w:r>
      <w:r>
        <w:rPr>
          <w:rFonts w:ascii="Calibri" w:cs="Calibri" w:eastAsia="Calibri" w:hAnsi="Calibri"/>
          <w:color w:val="1C1917"/>
          <w:sz w:val="22"/>
          <w:szCs w:val="22"/>
        </w:rPr>
        <w:t xml:space="preserve"> Alle indberetninger registreres (§§ 23-24). Mundtlige indberetninger dokumenteres ved optagelse, hvis whistlebloweren samtykker, eller ved et nøjagtigt referat, som whistlebloweren kan kontrollere, rette og godkende.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Opbevaring og sletning:</w:t>
      </w:r>
      <w:r>
        <w:rPr>
          <w:rFonts w:ascii="Calibri" w:cs="Calibri" w:eastAsia="Calibri" w:hAnsi="Calibri"/>
          <w:color w:val="1C1917"/>
          <w:sz w:val="22"/>
          <w:szCs w:val="22"/>
        </w:rPr>
        <w:t xml:space="preserve"> Indberetninger opbevares kun, så længe det er nødvendigt og forholdsmæssigt. Grundløse indberetninger og indberetninger uden for ordningen slettes </w:t>
      </w:r>
      <w:r>
        <w:rPr>
          <w:rFonts w:ascii="Calibri" w:cs="Calibri" w:eastAsia="Calibri" w:hAnsi="Calibri"/>
          <w:color w:val="1C1917"/>
          <w:sz w:val="22"/>
          <w:szCs w:val="22"/>
          <w:shd w:fill="E8E6E1" w:color="auto" w:val="clear"/>
        </w:rPr>
        <w:t xml:space="preserve">[straks / senest (antal) dage efter afslutning]</w:t>
      </w:r>
      <w:r>
        <w:rPr>
          <w:rFonts w:ascii="Calibri" w:cs="Calibri" w:eastAsia="Calibri" w:hAnsi="Calibri"/>
          <w:color w:val="1C1917"/>
          <w:sz w:val="22"/>
          <w:szCs w:val="22"/>
        </w:rPr>
        <w:t xml:space="preserve">. Fører en indberetning til anmeldelse til politiet eller en anden myndighed, slettes oplysningerne som udgangspunkt, når myndighedens sag er afsluttet. </w:t>
      </w:r>
      <w:r>
        <w:rPr>
          <w:rFonts w:ascii="Calibri" w:cs="Calibri" w:eastAsia="Calibri" w:hAnsi="Calibri"/>
          <w:color w:val="1C1917"/>
          <w:sz w:val="22"/>
          <w:szCs w:val="22"/>
          <w:shd w:fill="E8E6E1" w:color="auto" w:val="clear"/>
        </w:rPr>
        <w:t xml:space="preserve">[Andre kriterier, fx fortsat opbevaring hvis der er grund til at tro, at senere indberetninger om samme forhold vil komme.]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b/>
          <w:bCs/>
          <w:color w:val="1C1917"/>
          <w:sz w:val="22"/>
          <w:szCs w:val="22"/>
        </w:rPr>
        <w:t xml:space="preserve">Sikkerhed:</w:t>
      </w:r>
      <w:r>
        <w:rPr>
          <w:rFonts w:ascii="Calibri" w:cs="Calibri" w:eastAsia="Calibri" w:hAnsi="Calibri"/>
          <w:color w:val="1C1917"/>
          <w:sz w:val="22"/>
          <w:szCs w:val="22"/>
        </w:rPr>
        <w:t xml:space="preserve"> Indberetninger opbevares i </w:t>
      </w:r>
      <w:r>
        <w:rPr>
          <w:rFonts w:ascii="Calibri" w:cs="Calibri" w:eastAsia="Calibri" w:hAnsi="Calibri"/>
          <w:color w:val="1C1917"/>
          <w:sz w:val="22"/>
          <w:szCs w:val="22"/>
          <w:shd w:fill="E8E6E1" w:color="auto" w:val="clear"/>
        </w:rPr>
        <w:t xml:space="preserve">[System]</w:t>
      </w:r>
      <w:r>
        <w:rPr>
          <w:rFonts w:ascii="Calibri" w:cs="Calibri" w:eastAsia="Calibri" w:hAnsi="Calibri"/>
          <w:color w:val="1C1917"/>
          <w:sz w:val="22"/>
          <w:szCs w:val="22"/>
        </w:rPr>
        <w:t xml:space="preserve"> med adgang begrænset til whistleblowerenheden, aldrig på fællesdrev eller i fælles postkasser.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Der gælder ingen fast slettefrist for indberetninger. Skriv jeres egne kriterier, og sørg for, at de også gennemføres i portalen. Husk at medtage ordningen i fortegnelsen over behandlingsaktiviteter.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Beskyttelse mod repressalier</w:t>
      </w:r>
    </w:p>
    <w:p>
      <w:pPr>
        <w:spacing w:after="120" w:line="288" w:lineRule="auto"/>
      </w:pPr>
      <w:r>
        <w:rPr>
          <w:rFonts w:ascii="Calibri" w:cs="Calibri" w:eastAsia="Calibri" w:hAnsi="Calibri"/>
          <w:color w:val="1C1917"/>
          <w:sz w:val="22"/>
          <w:szCs w:val="22"/>
        </w:rPr>
        <w:t xml:space="preserve">En whistleblower, der indberetter et forhold omfattet af ordningen, må ikke udsættes for repressalier, trusler om repressalier eller forsøg på at hindre indberetningen (§ 8). Beskyttelsen forudsætter, at whistlebloweren havde rimelig grund til at antage, at oplysningerne var korrekte og omfattet af loven (§ 6). Repressalier kan fx være afskedigelse, degradering, forflyttelse, lønnedgang, advarsler, chikane, udelukkelse eller negative referencer. Beskyttelsen gælder også personer, der har hjulpet whistlebloweren, og kolleger eller familie, der risikerer repressalier (§ 8, stk. 2).</w:t>
      </w:r>
    </w:p>
    <w:p>
      <w:pPr>
        <w:spacing w:after="120" w:line="288" w:lineRule="auto"/>
      </w:pPr>
      <w:r>
        <w:rPr>
          <w:rFonts w:ascii="Calibri" w:cs="Calibri" w:eastAsia="Calibri" w:hAnsi="Calibri"/>
          <w:color w:val="1C1917"/>
          <w:sz w:val="22"/>
          <w:szCs w:val="22"/>
        </w:rPr>
        <w:t xml:space="preserve">Oplever en whistleblower repressalier, kan det meddeles </w:t>
      </w:r>
      <w:r>
        <w:rPr>
          <w:rFonts w:ascii="Calibri" w:cs="Calibri" w:eastAsia="Calibri" w:hAnsi="Calibri"/>
          <w:color w:val="1C1917"/>
          <w:sz w:val="22"/>
          <w:szCs w:val="22"/>
          <w:shd w:fill="E8E6E1" w:color="auto" w:val="clear"/>
        </w:rPr>
        <w:t xml:space="preserve">[Whistleblowerenheden / bestyrelsesformanden]</w:t>
      </w:r>
      <w:r>
        <w:rPr>
          <w:rFonts w:ascii="Calibri" w:cs="Calibri" w:eastAsia="Calibri" w:hAnsi="Calibri"/>
          <w:color w:val="1C1917"/>
          <w:sz w:val="22"/>
          <w:szCs w:val="22"/>
        </w:rPr>
        <w:t xml:space="preserve">. Whistleblowerloven giver ret til godtgørelse ved repressalier, og en afskedigelse i strid med loven kan underkendes (§ 28). Der gælder omvendt bevisbyrde: Påviser whistlebloweren at have indberettet og at have lidt en ulempe, skal virksomheden bevise, at ulempen ikke var en repressalie (§ 29).</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Rettighederne kan ikke fraviges ved aftale til skade for whistlebloweren eller den berørte person (§ 4) - fx ved tavshedsklausuler. Den, der bevidst indberetter urigtige oplysninger, er ikke beskyttet og kan straffes med bøde (§ 30, stk. 1).</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Eksterne whistleblowerordninger</w:t>
      </w:r>
    </w:p>
    <w:p>
      <w:pPr>
        <w:spacing w:after="120" w:line="288" w:lineRule="auto"/>
      </w:pPr>
      <w:r>
        <w:rPr>
          <w:rFonts w:ascii="Calibri" w:cs="Calibri" w:eastAsia="Calibri" w:hAnsi="Calibri"/>
          <w:color w:val="1C1917"/>
          <w:sz w:val="22"/>
          <w:szCs w:val="22"/>
        </w:rPr>
        <w:t xml:space="preserve">Vi opfordrer til at indberette internt, hvor forholdet kan håndteres effektivt her, og whistlebloweren ikke frygter repressalier. Whistlebloweren kan dog altid frit vælge at indberette til en ekstern ordning i stedet for eller ud over den interne: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Datatilsynets generelle eksterne ordning: whistleblower.dk</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[Relevante sektorordninger, fx Finanstilsynet (finanstilsynet.dk/whistleblower), Erhvervsstyrelsen for revisionsområdet (erhvervsstyrelsen.dk/whistleblowerordning), Arbejdstilsynet for offshore (offshore.at.dk/whistleblower)]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[Relevante EU-ordninger, fx OLAF (svig med EU-midler) eller ESMA (værdipapirmarkeder)]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Vælg de sektorordninger, der er relevante for jeres branche, ud fra listen i bilag 1 til Justitsministeriets vejledning. Kontrollér, at adresserne stadig er gældende.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Ansvar, ikrafttræden og revision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Godkendt af</w:t>
      </w:r>
      <w:r>
        <w:t xml:space="preserve">	</w:t>
      </w:r>
      <w:r>
        <w:rPr>
          <w:rFonts w:ascii="Calibri" w:cs="Calibri" w:eastAsia="Calibri" w:hAnsi="Calibri"/>
          <w:color w:val="1C1917"/>
          <w:sz w:val="22"/>
          <w:szCs w:val="22"/>
          <w:shd w:fill="E8E6E1" w:color="auto" w:val="clear"/>
        </w:rPr>
        <w:t xml:space="preserve">[Direktion / bestyrelse]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Dato</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Version</w:t>
      </w:r>
      <w:r>
        <w:t xml:space="preserve">	</w:t>
      </w:r>
      <w:r>
        <w:rPr>
          <w:rFonts w:ascii="Calibri" w:cs="Calibri" w:eastAsia="Calibri" w:hAnsi="Calibri"/>
          <w:color w:val="1C1917"/>
          <w:sz w:val="22"/>
          <w:szCs w:val="22"/>
          <w:shd w:fill="E8E6E1" w:color="auto" w:val="clear"/>
        </w:rPr>
        <w:t xml:space="preserve">[Version]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Ansvarlig for politikken</w:t>
      </w:r>
      <w:r>
        <w:t xml:space="preserve">	</w:t>
      </w:r>
      <w:r>
        <w:rPr>
          <w:rFonts w:ascii="Calibri" w:cs="Calibri" w:eastAsia="Calibri" w:hAnsi="Calibri"/>
          <w:color w:val="1C1917"/>
          <w:sz w:val="22"/>
          <w:szCs w:val="22"/>
          <w:shd w:fill="E8E6E1" w:color="auto" w:val="clear"/>
        </w:rPr>
        <w:t xml:space="preserve">[Navn / funktion]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Næste gennemgang</w:t>
      </w:r>
      <w:r>
        <w:t xml:space="preserve">	</w:t>
      </w:r>
      <w:r>
        <w:rPr>
          <w:rFonts w:ascii="Calibri" w:cs="Calibri" w:eastAsia="Calibri" w:hAnsi="Calibri"/>
          <w:color w:val="1C1917"/>
          <w:sz w:val="22"/>
          <w:szCs w:val="22"/>
          <w:shd w:fill="E8E6E1" w:color="auto" w:val="clear"/>
        </w:rPr>
        <w:t xml:space="preserve">[Dato - mindst én gang om året]</w:t>
      </w:r>
    </w:p>
    <w:p>
      <w:pPr>
        <w:spacing w:after="120" w:line="288" w:lineRule="auto"/>
      </w:pPr>
      <w:r>
        <w:rPr>
          <w:rFonts w:ascii="Calibri" w:cs="Calibri" w:eastAsia="Calibri" w:hAnsi="Calibri"/>
          <w:color w:val="1C1917"/>
          <w:sz w:val="22"/>
          <w:szCs w:val="22"/>
        </w:rPr>
        <w:t xml:space="preserve">Medarbejderne er informeret om ordningen ved </w:t>
      </w:r>
      <w:r>
        <w:rPr>
          <w:rFonts w:ascii="Calibri" w:cs="Calibri" w:eastAsia="Calibri" w:hAnsi="Calibri"/>
          <w:color w:val="1C1917"/>
          <w:sz w:val="22"/>
          <w:szCs w:val="22"/>
          <w:shd w:fill="E8E6E1" w:color="auto" w:val="clear"/>
        </w:rPr>
        <w:t xml:space="preserve">[Fx informationen i del B på intranettet (link) og hjemmesiden (link), samt ved ansættelse]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Den sidste sætning dokumenterer, at informationspligten er opfyldt - et af de tre punkter, Justitsministeriets vejledning nævner, at politikken skal indeholde (udpeget enhed, sagsbehandling efter loven, opfyldt informationspligt).</w:t>
      </w:r>
    </w:p>
    <w:p>
      <w:pPr>
        <w:pageBreakBefore/>
      </w:pPr>
    </w:p>
    <w:p>
      <w:pPr>
        <w:keepNext/>
        <w:spacing w:after="80" w:before="220"/>
      </w:pPr>
      <w:r>
        <w:rPr>
          <w:rFonts w:ascii="Calibri" w:cs="Calibri" w:eastAsia="Calibri" w:hAnsi="Calibri"/>
          <w:b/>
          <w:bCs/>
          <w:color w:val="28394A"/>
          <w:sz w:val="22"/>
          <w:szCs w:val="22"/>
        </w:rPr>
        <w:t xml:space="preserve">Del B - Information til medarbejdere om whistleblowerordningen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Del B offentliggøres på et synligt og tilgængeligt sted for alle, der kan bruge ordningen - fx hjemmesiden, og intranettet hvis ordningen kun er åben for ansatte. Teksten skal svare til valgene i del A.</w:t>
      </w:r>
    </w:p>
    <w:p>
      <w:pPr>
        <w:spacing w:after="120" w:line="288" w:lineRule="auto"/>
      </w:pP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har en whistleblowerordning, hvor du kan indberette alvorlige forhold og lovovertrædelser i virksomheden - fortroligt og uden at risikere repressalier.</w:t>
      </w:r>
    </w:p>
    <w:p>
      <w:pPr>
        <w:keepNext/>
        <w:spacing w:after="80" w:before="220"/>
      </w:pPr>
      <w:r>
        <w:rPr>
          <w:rFonts w:ascii="Calibri" w:cs="Calibri" w:eastAsia="Calibri" w:hAnsi="Calibri"/>
          <w:b/>
          <w:bCs/>
          <w:color w:val="28394A"/>
          <w:sz w:val="22"/>
          <w:szCs w:val="22"/>
        </w:rPr>
        <w:t xml:space="preserve">Hvem kan bruge ordningen?</w:t>
      </w:r>
    </w:p>
    <w:p>
      <w:pPr>
        <w:spacing w:after="120" w:line="288" w:lineRule="auto"/>
      </w:pPr>
      <w:r>
        <w:rPr>
          <w:rFonts w:ascii="Calibri" w:cs="Calibri" w:eastAsia="Calibri" w:hAnsi="Calibri"/>
          <w:color w:val="1C1917"/>
          <w:sz w:val="22"/>
          <w:szCs w:val="22"/>
          <w:shd w:fill="E8E6E1" w:color="auto" w:val="clear"/>
        </w:rPr>
        <w:t xml:space="preserve">[Fx ansatte, tidligere ansatte, jobansøgere, bestyrelsesmedlemmer, praktikanter, frivillige og ansatte hos vores leverandører.]</w:t>
      </w:r>
    </w:p>
    <w:p>
      <w:pPr>
        <w:keepNext/>
        <w:spacing w:after="80" w:before="220"/>
      </w:pPr>
      <w:r>
        <w:rPr>
          <w:rFonts w:ascii="Calibri" w:cs="Calibri" w:eastAsia="Calibri" w:hAnsi="Calibri"/>
          <w:b/>
          <w:bCs/>
          <w:color w:val="28394A"/>
          <w:sz w:val="22"/>
          <w:szCs w:val="22"/>
        </w:rPr>
        <w:t xml:space="preserve">Hvad kan du indberette?</w:t>
      </w:r>
    </w:p>
    <w:p>
      <w:pPr>
        <w:spacing w:after="120" w:line="288" w:lineRule="auto"/>
      </w:pPr>
      <w:r>
        <w:rPr>
          <w:rFonts w:ascii="Calibri" w:cs="Calibri" w:eastAsia="Calibri" w:hAnsi="Calibri"/>
          <w:color w:val="1C1917"/>
          <w:sz w:val="22"/>
          <w:szCs w:val="22"/>
        </w:rPr>
        <w:t xml:space="preserve">Overtrædelser af EU-regler inden for bl.a. hvidvask, persondata, miljø, produktsikkerhed og forbrugerbeskyttelse samt alvorlige lovovertrædelser og andre alvorlige forhold - fx bestikkelse, bedrageri, seksuel chikane eller grove brud på arbejdsmiljøet. Utilfredshed med egne ansættelsesforhold hører ikke under ordningen; kontakt i stedet </w:t>
      </w:r>
      <w:r>
        <w:rPr>
          <w:rFonts w:ascii="Calibri" w:cs="Calibri" w:eastAsia="Calibri" w:hAnsi="Calibri"/>
          <w:color w:val="1C1917"/>
          <w:sz w:val="22"/>
          <w:szCs w:val="22"/>
          <w:shd w:fill="E8E6E1" w:color="auto" w:val="clear"/>
        </w:rPr>
        <w:t xml:space="preserve">[Nærmeste leder / HR / tillidsrepræsentanten]</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Sådan indberetter du</w:t>
      </w:r>
    </w:p>
    <w:p>
      <w:pPr>
        <w:spacing w:after="120" w:line="288" w:lineRule="auto"/>
      </w:pPr>
      <w:r>
        <w:rPr>
          <w:rFonts w:ascii="Calibri" w:cs="Calibri" w:eastAsia="Calibri" w:hAnsi="Calibri"/>
          <w:color w:val="1C1917"/>
          <w:sz w:val="22"/>
          <w:szCs w:val="22"/>
          <w:shd w:fill="E8E6E1" w:color="auto" w:val="clear"/>
        </w:rPr>
        <w:t xml:space="preserve">[Portal: (URL) / e-mail: (adresse) / telefon: (nummer) / brev: (adresse)]</w:t>
      </w:r>
      <w:r>
        <w:rPr>
          <w:rFonts w:ascii="Calibri" w:cs="Calibri" w:eastAsia="Calibri" w:hAnsi="Calibri"/>
          <w:color w:val="1C1917"/>
          <w:sz w:val="22"/>
          <w:szCs w:val="22"/>
        </w:rPr>
        <w:t xml:space="preserve">. Du kan også bede om et fysisk møde. </w:t>
      </w:r>
      <w:r>
        <w:rPr>
          <w:rFonts w:ascii="Calibri" w:cs="Calibri" w:eastAsia="Calibri" w:hAnsi="Calibri"/>
          <w:color w:val="1C1917"/>
          <w:sz w:val="22"/>
          <w:szCs w:val="22"/>
          <w:shd w:fill="E8E6E1" w:color="auto" w:val="clear"/>
        </w:rPr>
        <w:t xml:space="preserve">[Du kan være anonym / Du kan ikke være anonym, men din identitet behandles fortroligt.]</w:t>
      </w:r>
    </w:p>
    <w:p>
      <w:pPr>
        <w:keepNext/>
        <w:spacing w:after="80" w:before="220"/>
      </w:pPr>
      <w:r>
        <w:rPr>
          <w:rFonts w:ascii="Calibri" w:cs="Calibri" w:eastAsia="Calibri" w:hAnsi="Calibri"/>
          <w:b/>
          <w:bCs/>
          <w:color w:val="28394A"/>
          <w:sz w:val="22"/>
          <w:szCs w:val="22"/>
        </w:rPr>
        <w:t xml:space="preserve">Hvad sker der med din indberetning?</w:t>
      </w:r>
    </w:p>
    <w:p>
      <w:pPr>
        <w:spacing w:after="120" w:line="288" w:lineRule="auto"/>
      </w:pPr>
      <w:r>
        <w:rPr>
          <w:rFonts w:ascii="Calibri" w:cs="Calibri" w:eastAsia="Calibri" w:hAnsi="Calibri"/>
          <w:color w:val="1C1917"/>
          <w:sz w:val="22"/>
          <w:szCs w:val="22"/>
        </w:rPr>
        <w:t xml:space="preserve">Indberetningen modtages og registreres af whistleblowerenheden: </w:t>
      </w:r>
      <w:r>
        <w:rPr>
          <w:rFonts w:ascii="Calibri" w:cs="Calibri" w:eastAsia="Calibri" w:hAnsi="Calibri"/>
          <w:color w:val="1C1917"/>
          <w:sz w:val="22"/>
          <w:szCs w:val="22"/>
          <w:shd w:fill="E8E6E1" w:color="auto" w:val="clear"/>
        </w:rPr>
        <w:t xml:space="preserve">[Navn/funktion]</w:t>
      </w:r>
      <w:r>
        <w:rPr>
          <w:rFonts w:ascii="Calibri" w:cs="Calibri" w:eastAsia="Calibri" w:hAnsi="Calibri"/>
          <w:color w:val="1C1917"/>
          <w:sz w:val="22"/>
          <w:szCs w:val="22"/>
        </w:rPr>
        <w:t xml:space="preserve">. Du får en kvittering inden for 7 dage og besked om, hvad der er gjort ved sagen, senest 3 måneder efter kvitteringen. Kun enhedens autoriserede medarbejdere har adgang til indberetningen, og de har særlig tavshedspligt.</w:t>
      </w:r>
    </w:p>
    <w:p>
      <w:pPr>
        <w:keepNext/>
        <w:spacing w:after="80" w:before="220"/>
      </w:pPr>
      <w:r>
        <w:rPr>
          <w:rFonts w:ascii="Calibri" w:cs="Calibri" w:eastAsia="Calibri" w:hAnsi="Calibri"/>
          <w:b/>
          <w:bCs/>
          <w:color w:val="28394A"/>
          <w:sz w:val="22"/>
          <w:szCs w:val="22"/>
        </w:rPr>
        <w:t xml:space="preserve">Dine og den berørte persons rettigheder</w:t>
      </w:r>
    </w:p>
    <w:p>
      <w:pPr>
        <w:spacing w:after="120" w:line="288" w:lineRule="auto"/>
      </w:pPr>
      <w:r>
        <w:rPr>
          <w:rFonts w:ascii="Calibri" w:cs="Calibri" w:eastAsia="Calibri" w:hAnsi="Calibri"/>
          <w:color w:val="1C1917"/>
          <w:sz w:val="22"/>
          <w:szCs w:val="22"/>
        </w:rPr>
        <w:t xml:space="preserve">Du er beskyttet mod repressalier, når du indberetter et forhold, der er omfattet af ordningen, og har rimelig grund til at tro, at oplysningerne er korrekte. Din identitet holdes fortrolig og videregives kun med dit samtykke eller i de tilfælde, loven tillader, typisk til en offentlig myndighed - og som udgangspunkt først efter, at du har fået besked. Den person, indberetningen handler om, har ret til beskyttelse af sin identitet og til et effektivt forsvar.</w:t>
      </w:r>
    </w:p>
    <w:p>
      <w:pPr>
        <w:keepNext/>
        <w:spacing w:after="80" w:before="220"/>
      </w:pPr>
      <w:r>
        <w:rPr>
          <w:rFonts w:ascii="Calibri" w:cs="Calibri" w:eastAsia="Calibri" w:hAnsi="Calibri"/>
          <w:b/>
          <w:bCs/>
          <w:color w:val="28394A"/>
          <w:sz w:val="22"/>
          <w:szCs w:val="22"/>
        </w:rPr>
        <w:t xml:space="preserve">Du kan også indberette eksternt</w:t>
      </w:r>
    </w:p>
    <w:p>
      <w:pPr>
        <w:spacing w:after="120" w:line="288" w:lineRule="auto"/>
      </w:pPr>
      <w:r>
        <w:rPr>
          <w:rFonts w:ascii="Calibri" w:cs="Calibri" w:eastAsia="Calibri" w:hAnsi="Calibri"/>
          <w:color w:val="1C1917"/>
          <w:sz w:val="22"/>
          <w:szCs w:val="22"/>
        </w:rPr>
        <w:t xml:space="preserve">Vi opfordrer dig til at bruge vores interne ordning, hvis forholdet kan håndteres effektivt internt, og du ikke frygter repressalier. Du kan dog altid vælge at gå direkte til en ekstern ordning, fx Datatilsynets ordning på whistleblower.dk </w:t>
      </w:r>
      <w:r>
        <w:rPr>
          <w:rFonts w:ascii="Calibri" w:cs="Calibri" w:eastAsia="Calibri" w:hAnsi="Calibri"/>
          <w:color w:val="1C1917"/>
          <w:sz w:val="22"/>
          <w:szCs w:val="22"/>
          <w:shd w:fill="E8E6E1" w:color="auto" w:val="clear"/>
        </w:rPr>
        <w:t xml:space="preserve">[eller (relevant sektorordning)]</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Læs hele whistleblowerpolitikken her: </w:t>
      </w:r>
      <w:r>
        <w:rPr>
          <w:rFonts w:ascii="Calibri" w:cs="Calibri" w:eastAsia="Calibri" w:hAnsi="Calibri"/>
          <w:color w:val="1C1917"/>
          <w:sz w:val="22"/>
          <w:szCs w:val="22"/>
          <w:shd w:fill="E8E6E1" w:color="auto" w:val="clear"/>
        </w:rPr>
        <w:t xml:space="preserve">[Link]</w:t>
      </w:r>
      <w:r>
        <w:rPr>
          <w:rFonts w:ascii="Calibri" w:cs="Calibri" w:eastAsia="Calibri" w:hAnsi="Calibri"/>
          <w:color w:val="1C1917"/>
          <w:sz w:val="22"/>
          <w:szCs w:val="22"/>
        </w:rPr>
        <w:t xml:space="preserve">. Spørgsmål om ordningen kan rettes til </w:t>
      </w:r>
      <w:r>
        <w:rPr>
          <w:rFonts w:ascii="Calibri" w:cs="Calibri" w:eastAsia="Calibri" w:hAnsi="Calibri"/>
          <w:color w:val="1C1917"/>
          <w:sz w:val="22"/>
          <w:szCs w:val="22"/>
          <w:shd w:fill="E8E6E1" w:color="auto" w:val="clear"/>
        </w:rPr>
        <w:t xml:space="preserve">[Kontakt]</w:t>
      </w:r>
      <w:r>
        <w:rPr>
          <w:rFonts w:ascii="Calibri" w:cs="Calibri" w:eastAsia="Calibri" w:hAnsi="Calibri"/>
          <w:color w:val="1C1917"/>
          <w:sz w:val="22"/>
          <w:szCs w:val="22"/>
        </w:rPr>
        <w:t xml:space="preserve">.</w:t>
      </w:r>
    </w:p>
    <w:p>
      <w:pPr>
        <w:pageBreakBefore/>
      </w:pPr>
    </w:p>
    <w:p>
      <w:pPr>
        <w:keepNext/>
        <w:spacing w:after="80" w:before="220"/>
      </w:pPr>
      <w:r>
        <w:rPr>
          <w:rFonts w:ascii="Calibri" w:cs="Calibri" w:eastAsia="Calibri" w:hAnsi="Calibri"/>
          <w:b/>
          <w:bCs/>
          <w:color w:val="28394A"/>
          <w:sz w:val="22"/>
          <w:szCs w:val="22"/>
        </w:rPr>
        <w:t xml:space="preserve">Bilag 1 - Kvittering for modtagelse af indberetning</w:t>
      </w:r>
    </w:p>
    <w:p>
      <w:pPr>
        <w:spacing w:after="120" w:line="288" w:lineRule="auto"/>
      </w:pPr>
      <w:r>
        <w:rPr>
          <w:rFonts w:ascii="Calibri" w:cs="Calibri" w:eastAsia="Calibri" w:hAnsi="Calibri"/>
          <w:color w:val="1C1917"/>
          <w:sz w:val="22"/>
          <w:szCs w:val="22"/>
        </w:rPr>
        <w:t xml:space="preserve">Kære </w:t>
      </w:r>
      <w:r>
        <w:rPr>
          <w:rFonts w:ascii="Calibri" w:cs="Calibri" w:eastAsia="Calibri" w:hAnsi="Calibri"/>
          <w:color w:val="1C1917"/>
          <w:sz w:val="22"/>
          <w:szCs w:val="22"/>
          <w:shd w:fill="E8E6E1" w:color="auto" w:val="clear"/>
        </w:rPr>
        <w:t xml:space="preserve">[Navn / whistleblower]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Whistleblowerenheden i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bekræfter at have modtaget din indberetning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Sagen har nummer </w:t>
      </w:r>
      <w:r>
        <w:rPr>
          <w:rFonts w:ascii="Calibri" w:cs="Calibri" w:eastAsia="Calibri" w:hAnsi="Calibri"/>
          <w:color w:val="1C1917"/>
          <w:sz w:val="22"/>
          <w:szCs w:val="22"/>
          <w:shd w:fill="E8E6E1" w:color="auto" w:val="clear"/>
        </w:rPr>
        <w:t xml:space="preserve">[Sagsnr.]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Vi vurderer nu, om indberetningen er omfattet af ordningen, og følger op på den. Du får besked om, hvad der er gjort ved sagen, hurtigst muligt og senest den </w:t>
      </w:r>
      <w:r>
        <w:rPr>
          <w:rFonts w:ascii="Calibri" w:cs="Calibri" w:eastAsia="Calibri" w:hAnsi="Calibri"/>
          <w:color w:val="1C1917"/>
          <w:sz w:val="22"/>
          <w:szCs w:val="22"/>
          <w:shd w:fill="E8E6E1" w:color="auto" w:val="clear"/>
        </w:rPr>
        <w:t xml:space="preserve">[Dato - 3 måneder efter denne kvittering]</w:t>
      </w:r>
      <w:r>
        <w:rPr>
          <w:rFonts w:ascii="Calibri" w:cs="Calibri" w:eastAsia="Calibri" w:hAnsi="Calibri"/>
          <w:color w:val="1C1917"/>
          <w:sz w:val="22"/>
          <w:szCs w:val="22"/>
        </w:rPr>
        <w:t xml:space="preserve">. Har vi brug for flere oplysninger, kontakter vi dig via </w:t>
      </w:r>
      <w:r>
        <w:rPr>
          <w:rFonts w:ascii="Calibri" w:cs="Calibri" w:eastAsia="Calibri" w:hAnsi="Calibri"/>
          <w:color w:val="1C1917"/>
          <w:sz w:val="22"/>
          <w:szCs w:val="22"/>
          <w:shd w:fill="E8E6E1" w:color="auto" w:val="clear"/>
        </w:rPr>
        <w:t xml:space="preserve">[Kanal]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Din identitet og indberetningens indhold behandles fortroligt. Vi behandler dine personoplysninger efter whistleblowerlovens § 22 og databeskyttelsesreglerne. Du kan læse mere om behandlingen og dine rettigheder her: </w:t>
      </w:r>
      <w:r>
        <w:rPr>
          <w:rFonts w:ascii="Calibri" w:cs="Calibri" w:eastAsia="Calibri" w:hAnsi="Calibri"/>
          <w:color w:val="1C1917"/>
          <w:sz w:val="22"/>
          <w:szCs w:val="22"/>
          <w:shd w:fill="E8E6E1" w:color="auto" w:val="clear"/>
        </w:rPr>
        <w:t xml:space="preserve">[Link til oplysning efter artikel 13]</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Med venlig hilsen</w:t>
      </w:r>
    </w:p>
    <w:p>
      <w:pPr>
        <w:spacing w:after="120" w:line="288" w:lineRule="auto"/>
      </w:pP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whistleblowerenheden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Send kvitteringen senest 7 dage efter modtagelsen. Er indberetningen anonym og uden mulighed for svar, noteres det i loggen.</w:t>
      </w:r>
    </w:p>
    <w:p>
      <w:pPr>
        <w:keepNext/>
        <w:spacing w:after="80" w:before="220"/>
      </w:pPr>
      <w:r>
        <w:rPr>
          <w:rFonts w:ascii="Calibri" w:cs="Calibri" w:eastAsia="Calibri" w:hAnsi="Calibri"/>
          <w:b/>
          <w:bCs/>
          <w:color w:val="28394A"/>
          <w:sz w:val="22"/>
          <w:szCs w:val="22"/>
        </w:rPr>
        <w:t xml:space="preserve">Bilag 2 - Feedback til whistlebloweren</w:t>
      </w:r>
    </w:p>
    <w:p>
      <w:pPr>
        <w:spacing w:after="120" w:line="288" w:lineRule="auto"/>
      </w:pPr>
      <w:r>
        <w:rPr>
          <w:rFonts w:ascii="Calibri" w:cs="Calibri" w:eastAsia="Calibri" w:hAnsi="Calibri"/>
          <w:color w:val="1C1917"/>
          <w:sz w:val="22"/>
          <w:szCs w:val="22"/>
        </w:rPr>
        <w:t xml:space="preserve">Kære </w:t>
      </w:r>
      <w:r>
        <w:rPr>
          <w:rFonts w:ascii="Calibri" w:cs="Calibri" w:eastAsia="Calibri" w:hAnsi="Calibri"/>
          <w:color w:val="1C1917"/>
          <w:sz w:val="22"/>
          <w:szCs w:val="22"/>
          <w:shd w:fill="E8E6E1" w:color="auto" w:val="clear"/>
        </w:rPr>
        <w:t xml:space="preserve">[Navn / whistleblower]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Vedrørende din indberetning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sagsnr. </w:t>
      </w:r>
      <w:r>
        <w:rPr>
          <w:rFonts w:ascii="Calibri" w:cs="Calibri" w:eastAsia="Calibri" w:hAnsi="Calibri"/>
          <w:color w:val="1C1917"/>
          <w:sz w:val="22"/>
          <w:szCs w:val="22"/>
          <w:shd w:fill="E8E6E1" w:color="auto" w:val="clear"/>
        </w:rPr>
        <w:t xml:space="preserve">[Sagsnr.]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har undersøgt forholdet. Vi har </w:t>
      </w:r>
      <w:r>
        <w:rPr>
          <w:rFonts w:ascii="Calibri" w:cs="Calibri" w:eastAsia="Calibri" w:hAnsi="Calibri"/>
          <w:color w:val="1C1917"/>
          <w:sz w:val="22"/>
          <w:szCs w:val="22"/>
          <w:shd w:fill="E8E6E1" w:color="auto" w:val="clear"/>
        </w:rPr>
        <w:t xml:space="preserve">[Fx iværksat en intern undersøgelse / orienteret ledelsen / foretaget anmeldelse til (myndighed) / ændret procedurerne for (område)]</w:t>
      </w:r>
      <w:r>
        <w:rPr>
          <w:rFonts w:ascii="Calibri" w:cs="Calibri" w:eastAsia="Calibri" w:hAnsi="Calibri"/>
          <w:color w:val="1C1917"/>
          <w:sz w:val="22"/>
          <w:szCs w:val="22"/>
        </w:rPr>
        <w:t xml:space="preserve">, fordi </w:t>
      </w:r>
      <w:r>
        <w:rPr>
          <w:rFonts w:ascii="Calibri" w:cs="Calibri" w:eastAsia="Calibri" w:hAnsi="Calibri"/>
          <w:color w:val="1C1917"/>
          <w:sz w:val="22"/>
          <w:szCs w:val="22"/>
          <w:shd w:fill="E8E6E1" w:color="auto" w:val="clear"/>
        </w:rPr>
        <w:t xml:space="preserve">[Begrundelse]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har vurderet, at indberetningen ikke er omfattet af whistleblowerordningen, fordi </w:t>
      </w:r>
      <w:r>
        <w:rPr>
          <w:rFonts w:ascii="Calibri" w:cs="Calibri" w:eastAsia="Calibri" w:hAnsi="Calibri"/>
          <w:color w:val="1C1917"/>
          <w:sz w:val="22"/>
          <w:szCs w:val="22"/>
          <w:shd w:fill="E8E6E1" w:color="auto" w:val="clear"/>
        </w:rPr>
        <w:t xml:space="preserve">[Begrundelse]</w:t>
      </w:r>
      <w:r>
        <w:rPr>
          <w:rFonts w:ascii="Calibri" w:cs="Calibri" w:eastAsia="Calibri" w:hAnsi="Calibri"/>
          <w:color w:val="1C1917"/>
          <w:sz w:val="22"/>
          <w:szCs w:val="22"/>
        </w:rPr>
        <w:t xml:space="preserve">. Du kan i stedet rette henvendelse til </w:t>
      </w:r>
      <w:r>
        <w:rPr>
          <w:rFonts w:ascii="Calibri" w:cs="Calibri" w:eastAsia="Calibri" w:hAnsi="Calibri"/>
          <w:color w:val="1C1917"/>
          <w:sz w:val="22"/>
          <w:szCs w:val="22"/>
          <w:shd w:fill="E8E6E1" w:color="auto" w:val="clear"/>
        </w:rPr>
        <w:t xml:space="preserve">[Nærmeste leder / HR / tillidsrepræsentanten]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har afsluttet sagen uden videre skridt, fordi </w:t>
      </w:r>
      <w:r>
        <w:rPr>
          <w:rFonts w:ascii="Calibri" w:cs="Calibri" w:eastAsia="Calibri" w:hAnsi="Calibri"/>
          <w:color w:val="1C1917"/>
          <w:sz w:val="22"/>
          <w:szCs w:val="22"/>
          <w:shd w:fill="E8E6E1" w:color="auto" w:val="clear"/>
        </w:rPr>
        <w:t xml:space="preserve">[Fx der ikke er fundet tilstrækkeligt grundlag]</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Undersøgelsen kan ikke afsluttes inden for 3 måneder, fordi </w:t>
      </w:r>
      <w:r>
        <w:rPr>
          <w:rFonts w:ascii="Calibri" w:cs="Calibri" w:eastAsia="Calibri" w:hAnsi="Calibri"/>
          <w:color w:val="1C1917"/>
          <w:sz w:val="22"/>
          <w:szCs w:val="22"/>
          <w:shd w:fill="E8E6E1" w:color="auto" w:val="clear"/>
        </w:rPr>
        <w:t xml:space="preserve">[Begrundelse]</w:t>
      </w:r>
      <w:r>
        <w:rPr>
          <w:rFonts w:ascii="Calibri" w:cs="Calibri" w:eastAsia="Calibri" w:hAnsi="Calibri"/>
          <w:color w:val="1C1917"/>
          <w:sz w:val="22"/>
          <w:szCs w:val="22"/>
        </w:rPr>
        <w:t xml:space="preserve">. Vi forventer at give dig yderligere besked senest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Med venlig hilsen</w:t>
      </w:r>
    </w:p>
    <w:p>
      <w:pPr>
        <w:spacing w:after="120" w:line="288" w:lineRule="auto"/>
      </w:pP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whistleblowerenheden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Feedback skal gives hurtigst muligt og senest 3 måneder efter kvitteringen. Oplys i videst muligt omfang, hvilken opfølgning der er sket og hvorfor, men vurdér konkret, om der er grundlag for at videregive oplysninger om navngivne personer - især følsomme oplysninger og oplysninger om strafbare forhold.</w:t>
      </w:r>
    </w:p>
    <w:p>
      <w:pPr>
        <w:keepNext/>
        <w:spacing w:after="80" w:before="220"/>
      </w:pPr>
      <w:r>
        <w:rPr>
          <w:rFonts w:ascii="Calibri" w:cs="Calibri" w:eastAsia="Calibri" w:hAnsi="Calibri"/>
          <w:b/>
          <w:bCs/>
          <w:color w:val="28394A"/>
          <w:sz w:val="22"/>
          <w:szCs w:val="22"/>
        </w:rPr>
        <w:t xml:space="preserve">Bilag 3 - Indberetningslog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864"/>
        <w:gridCol w:w="950"/>
        <w:gridCol w:w="864"/>
        <w:gridCol w:w="950"/>
        <w:gridCol w:w="864"/>
        <w:gridCol w:w="1728"/>
        <w:gridCol w:w="950"/>
        <w:gridCol w:w="950"/>
        <w:gridCol w:w="950"/>
      </w:tblGrid>
      <w:tr>
        <w:trPr>
          <w:tblHeader/>
        </w:trPr>
        <w:tc>
          <w:tcPr>
            <w:tcW w:type="dxa" w:w="86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Sagsnr.</w:t>
            </w:r>
          </w:p>
        </w:tc>
        <w:tc>
          <w:tcPr>
            <w:tcW w:type="dxa" w:w="95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Modtaget</w:t>
            </w:r>
          </w:p>
        </w:tc>
        <w:tc>
          <w:tcPr>
            <w:tcW w:type="dxa" w:w="86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Kanal</w:t>
            </w:r>
          </w:p>
        </w:tc>
        <w:tc>
          <w:tcPr>
            <w:tcW w:type="dxa" w:w="95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Kvitteret</w:t>
            </w:r>
          </w:p>
        </w:tc>
        <w:tc>
          <w:tcPr>
            <w:tcW w:type="dxa" w:w="86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Omfattet (ja/nej)</w:t>
            </w:r>
          </w:p>
        </w:tc>
        <w:tc>
          <w:tcPr>
            <w:tcW w:type="dxa" w:w="17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Opfølgning</w:t>
            </w:r>
          </w:p>
        </w:tc>
        <w:tc>
          <w:tcPr>
            <w:tcW w:type="dxa" w:w="95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Feedback givet</w:t>
            </w:r>
          </w:p>
        </w:tc>
        <w:tc>
          <w:tcPr>
            <w:tcW w:type="dxa" w:w="95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Afsluttet</w:t>
            </w:r>
          </w:p>
        </w:tc>
        <w:tc>
          <w:tcPr>
            <w:tcW w:type="dxa" w:w="95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Slettet</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95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Loggen må ikke indeholde navne eller detaljer, der kan identificere whistlebloweren eller den berørte person, og skal opbevares med samme adgangsbegrænsning som indberetningerne. Brug loggen til at overvåge fristerne og sletningen.</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gj3w9ikrva37smu0lqeyg">
      <w:r>
        <w:rPr>
          <w:rFonts w:ascii="Calibri" w:cs="Calibri" w:eastAsia="Calibri" w:hAnsi="Calibri"/>
          <w:color w:val="1E4FA3"/>
          <w:sz w:val="15"/>
          <w:szCs w:val="15"/>
          <w:u w:val="single"/>
        </w:rPr>
        <w:t xml:space="preserve">lovguiden.dk/praksisoversigt/gdpr-og-compliance/whistleblowerpolitik</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uo2v-gmegctrwx2lvx0ht">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hknsuwzhrlfa4dccf9qqm">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cbaihgbjklze79wyogl4f" Type="http://schemas.openxmlformats.org/officeDocument/2006/relationships/hyperlink" Target="https://www.lovguiden.dk" TargetMode="External"/><Relationship Id="rId7hleorutxbz6l_cqnxrlg" Type="http://schemas.openxmlformats.org/officeDocument/2006/relationships/hyperlink" Target="https://www.lovguiden.dk/praksisoversigt/gdpr-og-compliance/whistleblowerpolitik" TargetMode="External"/><Relationship Id="rIdsm1x3dehxfu6di67dmoyc" Type="http://schemas.openxmlformats.org/officeDocument/2006/relationships/hyperlink" Target="https://www.lovguiden.dk/praksisoversigt/gdpr-og-compliance/whistleblowerpolitik"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gj3w9ikrva37smu0lqeyg" Type="http://schemas.openxmlformats.org/officeDocument/2006/relationships/hyperlink" Target="https://www.lovguiden.dk/praksisoversigt/gdpr-og-compliance/whistleblowerpolitik"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uo2v-gmegctrwx2lvx0ht"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hknsuwzhrlfa4dccf9qqm"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Whistleblowerpolitik</dc:title>
  <dc:creator>Lovguiden</dc:creator>
  <cp:lastModifiedBy>Un-named</cp:lastModifiedBy>
  <cp:revision>1</cp:revision>
  <dcterms:created xsi:type="dcterms:W3CDTF">2026-10-27T14:06:23.047Z</dcterms:created>
  <dcterms:modified xsi:type="dcterms:W3CDTF">2026-10-27T14:06:23.047Z</dcterms:modified>
</cp:coreProperties>
</file>

<file path=docProps/custom.xml><?xml version="1.0" encoding="utf-8"?>
<Properties xmlns="http://schemas.openxmlformats.org/officeDocument/2006/custom-properties" xmlns:vt="http://schemas.openxmlformats.org/officeDocument/2006/docPropsVTypes"/>
</file>